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b/>
          <w:color w:val="000000"/>
          <w:sz w:val="72"/>
        </w:rPr>
        <w:t>Combat Mindset</w:t>
      </w:r>
    </w:p>
    <w:p>
      <w:pPr>
        <w:pStyle w:val="Normal"/>
        <w:pBdr>
          <w:bottom w:val="single" w:sz="20" w:space="10" w:color="C62026"/>
        </w:pBdr>
        <w:spacing w:before="0" w:after="200"/>
        <w:rPr/>
      </w:pPr>
      <w:r>
        <w:rPr>
          <w:rFonts w:cs="Arial"/>
          <w:b/>
          <w:color w:val="002516"/>
          <w:sz w:val="34"/>
        </w:rPr>
        <w:t>Framework Proposal</w:t>
      </w:r>
    </w:p>
    <w:p>
      <w:pPr>
        <w:pStyle w:val="Normal"/>
        <w:spacing w:before="160" w:after="40"/>
        <w:rPr/>
      </w:pPr>
      <w:r>
        <w:rPr>
          <w:rFonts w:cs="Arial"/>
          <w:color w:val="000000"/>
          <w:sz w:val="26"/>
        </w:rPr>
        <w:t>Remain effective. Act decisively.</w:t>
      </w:r>
    </w:p>
    <w:p>
      <w:pPr>
        <w:pStyle w:val="Normal"/>
        <w:spacing w:before="0" w:after="1680"/>
        <w:rPr/>
      </w:pPr>
      <w:r>
        <w:rPr>
          <w:rFonts w:cs="Arial"/>
          <w:b/>
          <w:color w:val="C62026"/>
          <w:sz w:val="26"/>
        </w:rPr>
        <w:t>Harder to kill.</w:t>
      </w:r>
    </w:p>
    <w:p>
      <w:pPr>
        <w:pStyle w:val="Normal"/>
        <w:pBdr>
          <w:top w:val="single" w:sz="6" w:space="6" w:color="A89662"/>
        </w:pBdr>
        <w:tabs>
          <w:tab w:val="clear" w:pos="720"/>
          <w:tab w:val="left" w:pos="1814" w:leader="none"/>
        </w:tabs>
        <w:spacing w:before="0" w:after="60"/>
        <w:rPr/>
      </w:pPr>
      <w:r>
        <w:rPr>
          <w:rFonts w:cs="Arial"/>
          <w:b/>
          <w:color w:val="002516"/>
          <w:sz w:val="20"/>
        </w:rPr>
        <w:t>Reference</w:t>
        <w:tab/>
      </w:r>
      <w:r>
        <w:rPr>
          <w:rFonts w:cs="Arial"/>
          <w:color w:val="000000"/>
          <w:sz w:val="20"/>
        </w:rPr>
        <w:t>ACS 2026</w:t>
      </w:r>
    </w:p>
    <w:p>
      <w:pPr>
        <w:pStyle w:val="Normal"/>
        <w:tabs>
          <w:tab w:val="clear" w:pos="720"/>
          <w:tab w:val="left" w:pos="1814" w:leader="none"/>
        </w:tabs>
        <w:spacing w:before="0" w:after="60"/>
        <w:rPr/>
      </w:pPr>
      <w:r>
        <w:rPr>
          <w:rFonts w:cs="Arial"/>
          <w:b/>
          <w:color w:val="002516"/>
          <w:sz w:val="20"/>
        </w:rPr>
        <w:t>Date</w:t>
        <w:tab/>
      </w:r>
      <w:r>
        <w:rPr>
          <w:rFonts w:cs="Arial"/>
          <w:color w:val="000000"/>
          <w:sz w:val="20"/>
        </w:rPr>
        <w:t>August 2026</w:t>
      </w:r>
    </w:p>
    <w:p>
      <w:pPr>
        <w:pStyle w:val="Normal"/>
        <w:tabs>
          <w:tab w:val="clear" w:pos="720"/>
          <w:tab w:val="left" w:pos="1814" w:leader="none"/>
        </w:tabs>
        <w:spacing w:before="0" w:after="60"/>
        <w:rPr/>
      </w:pPr>
      <w:r>
        <w:rPr>
          <w:rFonts w:cs="Arial"/>
          <w:b/>
          <w:color w:val="002516"/>
          <w:sz w:val="20"/>
        </w:rPr>
        <w:t>Originator</w:t>
        <w:tab/>
      </w:r>
      <w:r>
        <w:rPr>
          <w:rFonts w:cs="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b/>
          <w:color w:val="002516"/>
          <w:sz w:val="20"/>
        </w:rPr>
        <w:t>Version</w:t>
        <w:tab/>
      </w:r>
      <w:r>
        <w:rPr>
          <w:rFonts w:cs="Arial"/>
          <w:color w:val="000000"/>
          <w:sz w:val="20"/>
        </w:rPr>
        <w:t>Draft v1.0</w:t>
      </w:r>
    </w:p>
    <w:p>
      <w:pPr>
        <w:pStyle w:val="Normal"/>
        <w:rPr/>
      </w:pPr>
      <w:r>
        <w:rPr/>
      </w:r>
      <w:r>
        <w:br w:type="page"/>
      </w:r>
    </w:p>
    <w:p>
      <w:pPr>
        <w:pStyle w:val="Normal"/>
        <w:pBdr>
          <w:left w:val="single" w:sz="24" w:space="8" w:color="C62026"/>
        </w:pBdr>
        <w:spacing w:before="0" w:after="240"/>
        <w:rPr/>
      </w:pPr>
      <w:r>
        <w:rPr>
          <w:rFonts w:cs="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207_871499688">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209_871499688">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211_871499688">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213_871499688">
            <w:r>
              <w:rPr>
                <w:webHidden/>
                <w:rStyle w:val="IndexLink"/>
                <w:i w:val="false"/>
              </w:rPr>
              <w:t>2. Terminology and definitions</w:t>
            </w:r>
            <w:r>
              <w:rPr>
                <w:rStyle w:val="IndexLink"/>
              </w:rPr>
              <w:tab/>
              <w:t>4</w:t>
            </w:r>
          </w:hyperlink>
        </w:p>
        <w:p>
          <w:pPr>
            <w:pStyle w:val="TOC1"/>
            <w:tabs>
              <w:tab w:val="clear" w:pos="9072"/>
              <w:tab w:val="right" w:pos="9071" w:leader="dot"/>
            </w:tabs>
            <w:rPr/>
          </w:pPr>
          <w:hyperlink w:anchor="__RefHeading___Toc215_871499688">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217_871499688">
            <w:r>
              <w:rPr>
                <w:webHidden/>
                <w:rStyle w:val="IndexLink"/>
                <w:i w:val="false"/>
              </w:rPr>
              <w:t>4. Programme of work</w:t>
            </w:r>
            <w:r>
              <w:rPr>
                <w:rStyle w:val="IndexLink"/>
              </w:rPr>
              <w:tab/>
              <w:t>6</w:t>
            </w:r>
          </w:hyperlink>
        </w:p>
        <w:p>
          <w:pPr>
            <w:pStyle w:val="TOC1"/>
            <w:tabs>
              <w:tab w:val="clear" w:pos="9072"/>
              <w:tab w:val="right" w:pos="9071" w:leader="dot"/>
            </w:tabs>
            <w:rPr/>
          </w:pPr>
          <w:hyperlink w:anchor="__RefHeading___Toc219_871499688">
            <w:r>
              <w:rPr>
                <w:webHidden/>
                <w:rStyle w:val="IndexLink"/>
                <w:i w:val="false"/>
              </w:rPr>
              <w:t>5. Recommendations</w:t>
            </w:r>
            <w:r>
              <w:rPr>
                <w:rStyle w:val="IndexLink"/>
              </w:rPr>
              <w:tab/>
              <w:t>8</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207_871499688"/>
      <w:bookmarkEnd w:id="0"/>
      <w:r>
        <w:rPr>
          <w:rFonts w:cs="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1417" w:right="1417" w:gutter="0" w:header="624" w:top="1361" w:footer="624" w:bottom="1361"/>
          <w:pgNumType w:fmt="decimal"/>
          <w:formProt w:val="false"/>
          <w:textDirection w:val="lrTb"/>
          <w:docGrid w:type="default" w:linePitch="360" w:charSpace="0"/>
        </w:sectPr>
        <w:pStyle w:val="Normal"/>
        <w:jc w:val="left"/>
        <w:rPr/>
      </w:pPr>
      <w:r>
        <w:rPr/>
        <w:drawing>
          <wp:inline distT="0" distB="0" distL="0" distR="0">
            <wp:extent cx="5760085" cy="786003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5760085" cy="7860030"/>
                    </a:xfrm>
                    <a:prstGeom prst="rect">
                      <a:avLst/>
                    </a:prstGeom>
                  </pic:spPr>
                </pic:pic>
              </a:graphicData>
            </a:graphic>
          </wp:inline>
        </w:drawing>
      </w:r>
    </w:p>
    <w:p>
      <w:pPr>
        <w:pStyle w:val="Heading1"/>
        <w:pBdr>
          <w:left w:val="single" w:sz="24" w:space="8" w:color="C62026"/>
        </w:pBdr>
        <w:rPr/>
      </w:pPr>
      <w:bookmarkStart w:id="1" w:name="__RefHeading___Toc209_871499688"/>
      <w:bookmarkEnd w:id="1"/>
      <w:r>
        <w:rPr>
          <w:rFonts w:cs="Arial"/>
          <w:b/>
          <w:i w:val="false"/>
          <w:color w:val="002516"/>
          <w:sz w:val="28"/>
        </w:rPr>
        <w:t>Purpose</w:t>
      </w:r>
    </w:p>
    <w:p>
      <w:pPr>
        <w:pStyle w:val="Normal"/>
        <w:rPr/>
      </w:pPr>
      <w:r>
        <w:rPr>
          <w:rFonts w:cs="Arial"/>
          <w:b w:val="false"/>
          <w:i w:val="false"/>
        </w:rPr>
        <w:t>This paper responds to COMDT ACS direction of 16 July 2026 for NZ Army Leadership Centre (NZALC), in conjunction with the Human Performance Cell (HPC), to develop a strategy to close the Combat Mindset policy and doctrine gap. It proposes the conceptual relationship between Combat Mindset and Performance Under Pressure, establishes the Combat Mindset Framework as the organising system, and seeks approval to commence a phased programme of work.</w:t>
      </w:r>
    </w:p>
    <w:p>
      <w:pPr>
        <w:pStyle w:val="Normal"/>
        <w:rPr/>
      </w:pPr>
      <w:r>
        <w:rPr>
          <w:rFonts w:cs="Arial"/>
          <w:b w:val="false"/>
          <w:i w:val="false"/>
        </w:rPr>
        <w:t>The programme of work is phased: Phase 1 defines terminology, governance, roles and responsibilities; Phase 2 assesses existing doctrine, products and delivery; Phase 3 designs the framework, its delivery system and outcomes; Phase 4 validates the framework with key stakeholders; and Phase 5 delivers the framework for approval and implementation.</w:t>
      </w:r>
    </w:p>
    <w:p>
      <w:pPr>
        <w:pStyle w:val="Normal"/>
        <w:rPr/>
      </w:pPr>
      <w:r>
        <w:rPr>
          <w:rFonts w:cs="Arial"/>
          <w:b w:val="false"/>
          <w:i w:val="false"/>
        </w:rPr>
        <w:t>The decisions sought establish the drafting baseline and the authority to commence the programme. Final doctrine, governance and implementation arrangements remain subject to the appropriate Army approval processes.</w:t>
      </w:r>
    </w:p>
    <w:p>
      <w:pPr>
        <w:pStyle w:val="Normal"/>
        <w:rPr/>
      </w:pPr>
      <w:r>
        <w:rPr>
          <w:rFonts w:cs="Arial"/>
          <w:b w:val="false"/>
          <w:i w:val="false"/>
        </w:rPr>
        <w:t>Final recommendations and an implementation back brief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211_871499688"/>
      <w:bookmarkEnd w:id="2"/>
      <w:r>
        <w:rPr>
          <w:rFonts w:cs="Arial"/>
          <w:b/>
          <w:i w:val="false"/>
          <w:color w:val="002516"/>
          <w:sz w:val="28"/>
        </w:rPr>
        <w:t>1. The problem</w:t>
      </w:r>
    </w:p>
    <w:p>
      <w:pPr>
        <w:pStyle w:val="Normal"/>
        <w:rPr/>
      </w:pPr>
      <w:r>
        <w:rPr>
          <w:rFonts w:cs="Arial"/>
          <w:b w:val="false"/>
          <w:i w:val="false"/>
        </w:rPr>
        <w:t>Considerable relevant capability, expertise and activity already exist across Army. What Army does not yet have is a coherent doctrine, governance and assurance model for Combat Mindset. The COMDT ACS guidance reaches the same diagnosis:</w:t>
      </w:r>
    </w:p>
    <w:p>
      <w:pPr>
        <w:pStyle w:val="Normal"/>
        <w:spacing w:before="120" w:after="160"/>
        <w:ind w:left="567" w:right="567"/>
        <w:rPr/>
      </w:pPr>
      <w:r>
        <w:rPr>
          <w:rFonts w:cs="Arial"/>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Arial"/>
          <w:b w:val="false"/>
          <w:i w:val="false"/>
        </w:rPr>
        <w:t>The underlying operational problem remains:</w:t>
      </w:r>
    </w:p>
    <w:p>
      <w:pPr>
        <w:pStyle w:val="Normal"/>
        <w:spacing w:before="120" w:after="160"/>
        <w:ind w:left="567" w:right="567"/>
        <w:rPr/>
      </w:pPr>
      <w:r>
        <w:rPr>
          <w:rFonts w:cs="Arial"/>
          <w:b w:val="false"/>
          <w:i/>
        </w:rPr>
        <w:t>Under operational pressure, trained individuals and teams do not always retain access to their full capability.</w:t>
      </w:r>
    </w:p>
    <w:p>
      <w:pPr>
        <w:pStyle w:val="Normal"/>
        <w:rPr/>
      </w:pPr>
      <w:r>
        <w:rPr>
          <w:rFonts w:cs="Arial"/>
          <w:b w:val="false"/>
          <w:i w:val="false"/>
        </w:rPr>
        <w:t>Army must define the required human-performance capability, consolidate the substantial body of work already in existence, and describe its combat-specific expression. Existing evidence and capability are sufficient to commence that work.</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213_871499688"/>
      <w:bookmarkEnd w:id="3"/>
      <w:r>
        <w:rPr>
          <w:rFonts w:cs="Arial"/>
          <w:b/>
          <w:i w:val="false"/>
          <w:color w:val="002516"/>
          <w:sz w:val="28"/>
        </w:rPr>
        <w:t>2. Terminology and definitions</w:t>
      </w:r>
    </w:p>
    <w:p>
      <w:pPr>
        <w:pStyle w:val="Normal"/>
        <w:rPr/>
      </w:pPr>
      <w:r>
        <w:rPr>
          <w:rFonts w:cs="Arial"/>
          <w:b w:val="false"/>
          <w:i w:val="false"/>
        </w:rPr>
        <w:t>One structural decision must be made before the framework can be drafted: the relationship between Combat Mindset and Performance Under Pressure. Two options are offered.</w:t>
      </w:r>
    </w:p>
    <w:p>
      <w:pPr>
        <w:pStyle w:val="Heading2"/>
        <w:rPr/>
      </w:pPr>
      <w:r>
        <w:rPr>
          <w:rFonts w:cs="Arial"/>
          <w:b/>
          <w:i w:val="false"/>
          <w:color w:val="000000"/>
          <w:sz w:val="22"/>
        </w:rPr>
        <w:t>Option 1: Combat Mindset as the combat-specific expression of Performance Under Pressure (recommended)</w:t>
      </w:r>
    </w:p>
    <w:p>
      <w:pPr>
        <w:pStyle w:val="Normal"/>
        <w:rPr/>
      </w:pPr>
      <w:r>
        <w:rPr>
          <w:rFonts w:cs="Arial"/>
          <w:b w:val="false"/>
          <w:i w:val="false"/>
        </w:rPr>
        <w:t>Combat Mindset is the combat-specific expression of Performance Under Pressure, the enabling human-performance capability that remains applicable wherever significant pressure exists. The Combat Mindset Framework is the organising system through which Army governs, develops, delivers and assures both.</w:t>
      </w:r>
    </w:p>
    <w:p>
      <w:pPr>
        <w:pStyle w:val="Normal"/>
        <w:rPr/>
      </w:pPr>
      <w:r>
        <w:rPr>
          <w:rFonts w:cs="Arial"/>
          <w:b w:val="false"/>
          <w:i w:val="false"/>
        </w:rPr>
        <w:t>The following formal definitions are proposed as the drafting baseline.</w:t>
      </w:r>
    </w:p>
    <w:p>
      <w:pPr>
        <w:pStyle w:val="Normal"/>
        <w:spacing w:before="120" w:after="160"/>
        <w:ind w:left="567" w:right="567"/>
        <w:rPr/>
      </w:pPr>
      <w:r>
        <w:rPr>
          <w:rFonts w:cs="Arial"/>
          <w:b/>
          <w:i/>
        </w:rPr>
        <w:t>Combat Mindset.</w:t>
      </w:r>
      <w:r>
        <w:rPr>
          <w:rFonts w:cs="Arial"/>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Arial"/>
          <w:b/>
          <w:i/>
        </w:rPr>
        <w:t>Performance Under Pressure.</w:t>
      </w:r>
      <w:r>
        <w:rPr>
          <w:rFonts w:cs="Arial"/>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Arial"/>
          <w:b/>
          <w:i/>
        </w:rPr>
        <w:t>Combat Mindset Framework.</w:t>
      </w:r>
      <w:r>
        <w:rPr>
          <w:rFonts w:cs="Arial"/>
          <w:b w:val="false"/>
          <w:i/>
        </w:rPr>
        <w:t xml:space="preserve"> The framework through which Army governs, develops, delivers and assures Performance Under Pressure and its combat-specific expression, Combat Mindset.</w:t>
      </w:r>
    </w:p>
    <w:p>
      <w:pPr>
        <w:pStyle w:val="Normal"/>
        <w:rPr/>
      </w:pPr>
      <w:r>
        <w:rPr>
          <w:rFonts w:cs="Arial"/>
          <w:b w:val="false"/>
          <w:i w:val="false"/>
        </w:rPr>
        <w:t>A product, method or activity is combat-specific where it develops or applies Performance Under Pressure in a context that represents or deliberately simulates the defining demands of combat: opposition or threat, significant mission or human consequence, and ethical load. Products that do not represent these demands contribute to the enabling capability rather than its combat-specific expression.</w:t>
      </w:r>
    </w:p>
    <w:p>
      <w:pPr>
        <w:pStyle w:val="Normal"/>
        <w:spacing w:before="120" w:after="160"/>
        <w:ind w:left="567" w:right="567"/>
        <w:rPr/>
      </w:pPr>
      <w:r>
        <w:rPr>
          <w:rFonts w:cs="Arial"/>
          <w:b w:val="false"/>
          <w:i/>
        </w:rPr>
        <w:t>In summary, Performance Under Pressure is the trainable capability; Combat Mindset is its combat-specific expression.</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Gives each term one clear purpose: Combat Mindset is the combat-specific expression; Performance Under Pressure is the enabling capability; the Combat Mindset Framework is the organising system.</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Guards against Combat Mindset being misread as aggression, motivation or resilience alone.</w:t>
      </w:r>
    </w:p>
    <w:p>
      <w:pPr>
        <w:pStyle w:val="Heading2"/>
        <w:rPr/>
      </w:pPr>
      <w:r>
        <w:rPr>
          <w:rFonts w:cs="Arial"/>
          <w:b/>
          <w:i w:val="false"/>
          <w:color w:val="000000"/>
          <w:sz w:val="22"/>
        </w:rPr>
        <w:t>Option 2: Combat Mindset as the complete umbrella capability</w:t>
      </w:r>
    </w:p>
    <w:p>
      <w:pPr>
        <w:pStyle w:val="Normal"/>
        <w:rPr/>
      </w:pPr>
      <w:r>
        <w:rPr>
          <w:rFonts w:cs="Arial"/>
          <w:b w:val="false"/>
          <w:i w:val="false"/>
        </w:rPr>
        <w:t>Combat Mindset is treated as the complete capability itself, integrating leadership, human performance, resilience, mental skills and performance cognition, with performance under pressure expressed within it.</w:t>
      </w:r>
    </w:p>
    <w:p>
      <w:pPr>
        <w:pStyle w:val="Normal"/>
        <w:rPr/>
      </w:pPr>
      <w:r>
        <w:rPr>
          <w:rFonts w:cs="Arial"/>
          <w:b/>
          <w:i w:val="false"/>
        </w:rPr>
        <w:t>Advantages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Matches common soldier usage, in which Combat Mindset already serves as the umbrella term, and avoids a two-term hierarchy that requires sustained explanation.</w:t>
      </w:r>
    </w:p>
    <w:p>
      <w:pPr>
        <w:pStyle w:val="Normal"/>
        <w:rPr/>
      </w:pPr>
      <w:r>
        <w:rPr>
          <w:rFonts w:cs="Arial"/>
          <w:b/>
          <w:i w:val="false"/>
        </w:rPr>
        <w:t>Limitations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Increases the risk that Combat Mindset is interpreted as motivation or aggression alone.</w:t>
      </w:r>
    </w:p>
    <w:p>
      <w:pPr>
        <w:pStyle w:val="Normal"/>
        <w:rPr/>
      </w:pPr>
      <w:r>
        <w:rPr>
          <w:rFonts w:cs="Arial"/>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215_871499688"/>
      <w:bookmarkEnd w:id="4"/>
      <w:r>
        <w:rPr>
          <w:rFonts w:cs="Arial"/>
          <w:b/>
          <w:i w:val="false"/>
          <w:color w:val="002516"/>
          <w:sz w:val="28"/>
        </w:rPr>
        <w:t>3. What already exists</w:t>
      </w:r>
    </w:p>
    <w:p>
      <w:pPr>
        <w:pStyle w:val="Heading2"/>
        <w:rPr/>
      </w:pPr>
      <w:r>
        <w:rPr>
          <w:rFonts w:cs="Arial"/>
          <w:b/>
          <w:i w:val="false"/>
          <w:color w:val="000000"/>
          <w:sz w:val="22"/>
        </w:rPr>
        <w:t>Within ACS</w:t>
      </w:r>
    </w:p>
    <w:p>
      <w:pPr>
        <w:pStyle w:val="Normal"/>
        <w:rPr/>
      </w:pPr>
      <w:r>
        <w:rPr>
          <w:rFonts w:cs="Arial"/>
          <w:b/>
          <w:i w:val="false"/>
          <w:color w:val="002516"/>
          <w:sz w:val="20"/>
        </w:rPr>
        <w:t>NZALC Leadership Development System</w:t>
      </w:r>
    </w:p>
    <w:p>
      <w:pPr>
        <w:pStyle w:val="Normal"/>
        <w:rPr/>
      </w:pPr>
      <w:r>
        <w:rPr>
          <w:rFonts w:cs="Arial"/>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Normal"/>
        <w:rPr/>
      </w:pPr>
      <w:r>
        <w:rPr>
          <w:rFonts w:cs="Arial"/>
          <w:b/>
          <w:i w:val="false"/>
          <w:color w:val="002516"/>
          <w:sz w:val="20"/>
        </w:rPr>
        <w:t>HPC Cognitive Conditioning (COGCON)</w:t>
      </w:r>
    </w:p>
    <w:p>
      <w:pPr>
        <w:pStyle w:val="Normal"/>
        <w:rPr/>
      </w:pPr>
      <w:r>
        <w:rPr>
          <w:rFonts w:cs="Arial"/>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2 assessment.</w:t>
      </w:r>
    </w:p>
    <w:p>
      <w:pPr>
        <w:pStyle w:val="Heading2"/>
        <w:rPr/>
      </w:pPr>
      <w:r>
        <w:rPr>
          <w:rFonts w:cs="Arial"/>
          <w:b/>
          <w:i w:val="false"/>
          <w:color w:val="000000"/>
          <w:sz w:val="22"/>
        </w:rPr>
        <w:t>Outside ACS</w:t>
      </w:r>
    </w:p>
    <w:p>
      <w:pPr>
        <w:pStyle w:val="Normal"/>
        <w:rPr/>
      </w:pPr>
      <w:r>
        <w:rPr>
          <w:rFonts w:cs="Arial"/>
          <w:b/>
          <w:i w:val="false"/>
          <w:color w:val="002516"/>
          <w:sz w:val="20"/>
        </w:rPr>
        <w:t>Army Psychology Services (APS), ILD and other stakeholders</w:t>
      </w:r>
    </w:p>
    <w:p>
      <w:pPr>
        <w:pStyle w:val="Normal"/>
        <w:rPr/>
      </w:pPr>
      <w:r>
        <w:rPr>
          <w:rFonts w:cs="Arial"/>
          <w:b w:val="false"/>
          <w:i w:val="false"/>
        </w:rPr>
        <w:t>These organisations hold additional professional expertise, learning products, delivery capability and assurance functions that will be confirmed during the Phase 2 assessment.</w:t>
      </w:r>
    </w:p>
    <w:p>
      <w:pPr>
        <w:pStyle w:val="Normal"/>
        <w:rPr/>
      </w:pPr>
      <w:r>
        <w:rPr>
          <w:rFonts w:cs="Arial"/>
          <w:b w:val="false"/>
          <w:i w:val="false"/>
        </w:rPr>
        <w:t>Initial review indicates considerable conceptual alignment across existing products. The Combat Mindset Framework will establish a common doctrinal language beneath which individual products and methods can be nested. It will not require identical internal methodologies, provided products align to the endorsed framework, outcomes and assurance requirements.</w:t>
      </w:r>
    </w:p>
    <w:p>
      <w:pPr>
        <w:pStyle w:val="Normal"/>
        <w:rPr/>
      </w:pPr>
      <w:r>
        <w:rPr>
          <w:rFonts w:cs="Arial"/>
          <w:b w:val="false"/>
          <w:i w:val="false"/>
        </w:rPr>
        <w:t>A full assessment of existing capability and products will be completed during Phase 2. The products described above contribute to Performance Under Pressure and, where applied in a warfighting context, to Combat Mindset; none constitutes the framework in isolation.</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217_871499688"/>
      <w:bookmarkEnd w:id="5"/>
      <w:r>
        <w:rPr>
          <w:rFonts w:cs="Arial"/>
          <w:b/>
          <w:i w:val="false"/>
          <w:color w:val="002516"/>
          <w:sz w:val="28"/>
        </w:rPr>
        <w:t>4. Programme of work</w:t>
      </w:r>
    </w:p>
    <w:p>
      <w:pPr>
        <w:pStyle w:val="Normal"/>
        <w:rPr/>
      </w:pPr>
      <w:r>
        <w:rPr>
          <w:rFonts w:cs="Arial"/>
          <w:b w:val="false"/>
          <w:i w:val="false"/>
        </w:rPr>
        <w:t>August 2026 is set aside for this paper to be socialised through the chain of command, and the programme is therefore proposed to commence in September 2026. The timeframes below are aspirational and depend to varying extents on external stakeholder availability and input. As such, activity extending into early 2027 is anticipated rather than unforeseen.</w:t>
      </w:r>
    </w:p>
    <w:p>
      <w:pPr>
        <w:pStyle w:val="Normal"/>
        <w:rPr/>
      </w:pPr>
      <w:r>
        <w:rPr>
          <w:rFonts w:cs="Arial"/>
          <w:b w:val="false"/>
          <w:i w:val="false"/>
        </w:rPr>
        <w:t>Phases may overlap where practical, however subsequent design decisions remain dependent upon the endorsed outputs of preceding phases.</w:t>
      </w:r>
    </w:p>
    <w:p>
      <w:pPr>
        <w:pStyle w:val="Heading2"/>
        <w:rPr/>
      </w:pPr>
      <w:r>
        <w:rPr>
          <w:rFonts w:cs="Arial"/>
          <w:b/>
          <w:i w:val="false"/>
          <w:color w:val="000000"/>
          <w:sz w:val="22"/>
        </w:rPr>
        <w:t>Phase 1: Define (September 2026)</w:t>
      </w:r>
    </w:p>
    <w:p>
      <w:pPr>
        <w:pStyle w:val="Normal"/>
        <w:rPr/>
      </w:pPr>
      <w:r>
        <w:rPr>
          <w:rFonts w:cs="Arial"/>
          <w:b w:val="false"/>
          <w:i w:val="false"/>
        </w:rPr>
        <w:t>Confirm terminology, governance, roles and responsibilities. Select the terminology option at paragraph 2 and draft the endorsed definitions and their relationship for staffing. Confirm interim sponsorship, programme leadership, phase leads, stakeholder representation and decision authorities, while identifying the enduring capability ownership, technical-authority and assurance arrangements to be resolved through the programme.</w:t>
      </w:r>
    </w:p>
    <w:p>
      <w:pPr>
        <w:pStyle w:val="Normal"/>
        <w:rPr/>
      </w:pPr>
      <w:r>
        <w:rPr>
          <w:rFonts w:cs="Arial"/>
          <w:b/>
          <w:i w:val="false"/>
        </w:rPr>
        <w:t>Key output.</w:t>
      </w:r>
      <w:r>
        <w:rPr>
          <w:rFonts w:cs="Arial"/>
          <w:b w:val="false"/>
          <w:i w:val="false"/>
        </w:rPr>
        <w:t xml:space="preserve"> Endorsed drafting baseline and confirmed interim governance.</w:t>
      </w:r>
    </w:p>
    <w:p>
      <w:pPr>
        <w:pStyle w:val="Heading2"/>
        <w:rPr/>
      </w:pPr>
      <w:r>
        <w:rPr>
          <w:rFonts w:cs="Arial"/>
          <w:b/>
          <w:i w:val="false"/>
          <w:color w:val="000000"/>
          <w:sz w:val="22"/>
        </w:rPr>
        <w:t>Phase 2: Understand (September 2026)</w:t>
      </w:r>
    </w:p>
    <w:p>
      <w:pPr>
        <w:pStyle w:val="Normal"/>
        <w:rPr/>
      </w:pPr>
      <w:r>
        <w:rPr>
          <w:rFonts w:cs="Arial"/>
          <w:b w:val="false"/>
          <w:i w:val="false"/>
        </w:rPr>
        <w:t>Assess existing doctrine, products and delivery across ACS, NZALC, HPC, APS, ILD, training establishments and selected units against:</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doctrinal and policy holdings;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capability outcomes, training products and methods;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delivery organisations;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evidence maturity, scalability and resource requirements; and</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gaps, duplication and integration opportunities.</w:t>
      </w:r>
    </w:p>
    <w:p>
      <w:pPr>
        <w:pStyle w:val="Normal"/>
        <w:rPr/>
      </w:pPr>
      <w:r>
        <w:rPr>
          <w:rFonts w:cs="Arial"/>
          <w:b w:val="false"/>
          <w:i w:val="false"/>
        </w:rPr>
        <w:t>Apply the combat-specificity test at paragraph 2 to distinguish products that contribute to the broader Performance Under Pressure capability from those that support its combat-specific expression. Assess COGCON as one developmental product, with particular attention to its product boundary, evidence base, ownership, workforce requirements and scalability.</w:t>
      </w:r>
    </w:p>
    <w:p>
      <w:pPr>
        <w:pStyle w:val="Normal"/>
        <w:rPr/>
      </w:pPr>
      <w:r>
        <w:rPr>
          <w:rFonts w:cs="Arial"/>
          <w:b/>
          <w:i w:val="false"/>
        </w:rPr>
        <w:t>Key output.</w:t>
      </w:r>
      <w:r>
        <w:rPr>
          <w:rFonts w:cs="Arial"/>
          <w:b w:val="false"/>
          <w:i w:val="false"/>
        </w:rPr>
        <w:t xml:space="preserve"> A capability and product baseline identifying holdings, gaps, duplication and integration opportunities.</w:t>
      </w:r>
    </w:p>
    <w:p>
      <w:pPr>
        <w:pStyle w:val="Heading2"/>
        <w:rPr/>
      </w:pPr>
      <w:r>
        <w:rPr>
          <w:rFonts w:cs="Arial"/>
          <w:b/>
          <w:i w:val="false"/>
          <w:color w:val="000000"/>
          <w:sz w:val="22"/>
        </w:rPr>
        <w:t>Phase 3: Design (October 2026)</w:t>
      </w:r>
    </w:p>
    <w:p>
      <w:pPr>
        <w:pStyle w:val="Normal"/>
        <w:rPr/>
      </w:pPr>
      <w:r>
        <w:rPr>
          <w:rFonts w:cs="Arial"/>
          <w:b w:val="false"/>
          <w:i w:val="false"/>
        </w:rPr>
        <w:t>Develop the Combat Mindset Framework, delivery system and outcomes. The framework will establish how Army governs, develops, delivers and assures Performance Under Pressure and its combat-specific expression. The design will set developmental outcomes from Lead Self through Lead Systems, the architecture through which existing and future products contribute, common assurance principles, and the criteria by which products are recognised as part of the framework.</w:t>
      </w:r>
    </w:p>
    <w:p>
      <w:pPr>
        <w:pStyle w:val="Normal"/>
        <w:rPr/>
      </w:pPr>
      <w:r>
        <w:rPr>
          <w:rFonts w:cs="Arial"/>
          <w:b w:val="false"/>
          <w:i w:val="false"/>
        </w:rPr>
        <w:t>Existing products, including the NZALC Leadership Development System and COGCON, will be mapped against the endorsed outcomes and framework requirements rather than treated as the framework itself. The design will also identify how progression, transfer to operationally relevant performance, product quality and institutional adoption will be assessed.</w:t>
      </w:r>
    </w:p>
    <w:p>
      <w:pPr>
        <w:pStyle w:val="Normal"/>
        <w:rPr/>
      </w:pPr>
      <w:r>
        <w:rPr>
          <w:rFonts w:cs="Arial"/>
          <w:b/>
          <w:i w:val="false"/>
        </w:rPr>
        <w:t>Key output.</w:t>
      </w:r>
      <w:r>
        <w:rPr>
          <w:rFonts w:cs="Arial"/>
          <w:b w:val="false"/>
          <w:i w:val="false"/>
        </w:rPr>
        <w:t xml:space="preserve"> Draft Framework v1.0, comprising developmental outcomes, product architecture, governance arrangements and assurance criteria.</w:t>
      </w:r>
    </w:p>
    <w:p>
      <w:pPr>
        <w:pStyle w:val="Heading2"/>
        <w:rPr/>
      </w:pPr>
      <w:r>
        <w:rPr>
          <w:rFonts w:cs="Arial"/>
          <w:b/>
          <w:i w:val="false"/>
          <w:color w:val="000000"/>
          <w:sz w:val="22"/>
        </w:rPr>
        <w:t>Phase 4: Validate (November 2026)</w:t>
      </w:r>
    </w:p>
    <w:p>
      <w:pPr>
        <w:pStyle w:val="Normal"/>
        <w:rPr/>
      </w:pPr>
      <w:r>
        <w:rPr>
          <w:rFonts w:cs="Arial"/>
          <w:b w:val="false"/>
          <w:i w:val="false"/>
        </w:rPr>
        <w:t>Refine the framework with key stakeholders: convene ACS, NZALC, HPC, APS, ILD, selected training providers and units to test the framework, product architecture, governance model, implementation priorities, definition clarity and doctrinal coherence. Where time and unit availability permit, bounded validation activities or pilots will be conducted within this phase or earlier alongside Phase 2 or Phase 3.</w:t>
      </w:r>
    </w:p>
    <w:p>
      <w:pPr>
        <w:pStyle w:val="Normal"/>
        <w:rPr/>
      </w:pPr>
      <w:r>
        <w:rPr>
          <w:rFonts w:cs="Arial"/>
          <w:b/>
          <w:i w:val="false"/>
        </w:rPr>
        <w:t>Key output.</w:t>
      </w:r>
      <w:r>
        <w:rPr>
          <w:rFonts w:cs="Arial"/>
          <w:b w:val="false"/>
          <w:i w:val="false"/>
        </w:rPr>
        <w:t xml:space="preserve"> A validated framework and product architecture, with stakeholder positions recorded.</w:t>
      </w:r>
    </w:p>
    <w:p>
      <w:pPr>
        <w:pStyle w:val="Heading2"/>
        <w:rPr/>
      </w:pPr>
      <w:r>
        <w:rPr>
          <w:rFonts w:cs="Arial"/>
          <w:b/>
          <w:i w:val="false"/>
          <w:color w:val="000000"/>
          <w:sz w:val="22"/>
        </w:rPr>
        <w:t>Phase 5: Implement (late November 2026)</w:t>
      </w:r>
    </w:p>
    <w:p>
      <w:pPr>
        <w:pStyle w:val="Normal"/>
        <w:rPr/>
      </w:pPr>
      <w:r>
        <w:rPr>
          <w:rFonts w:cs="Arial"/>
          <w:b w:val="false"/>
          <w:i w:val="false"/>
        </w:rPr>
        <w:t>Deliver the framework for approval and implementation: present to COMDT ACS the endorsed definitions and confirmed relationship; Framework v1.0 and its validated product architecture; the proposed governance and assurance model; and a prioritised implementation plan.</w:t>
      </w:r>
    </w:p>
    <w:p>
      <w:pPr>
        <w:pStyle w:val="Normal"/>
        <w:rPr/>
      </w:pPr>
      <w:r>
        <w:rPr>
          <w:rFonts w:cs="Arial"/>
          <w:b w:val="false"/>
          <w:i w:val="false"/>
        </w:rPr>
        <w:t>Framework v1.0 establishes the initial approved architecture and priority implementation activity. Further evidence development, product alignment and assurance maturity will continue through implementation.</w:t>
      </w:r>
    </w:p>
    <w:p>
      <w:pPr>
        <w:pStyle w:val="Normal"/>
        <w:rPr/>
      </w:pPr>
      <w:r>
        <w:rPr>
          <w:rFonts w:cs="Arial"/>
          <w:b/>
          <w:i w:val="false"/>
        </w:rPr>
        <w:t>Key output.</w:t>
      </w:r>
      <w:r>
        <w:rPr>
          <w:rFonts w:cs="Arial"/>
          <w:b w:val="false"/>
          <w:i w:val="false"/>
        </w:rPr>
        <w:t xml:space="preserve"> Framework v1.0 submitted for approval, with an implementation plan and back brief to COMDT ACS.</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219_871499688"/>
      <w:bookmarkEnd w:id="6"/>
      <w:r>
        <w:rPr>
          <w:rFonts w:cs="Arial"/>
          <w:b/>
          <w:i w:val="false"/>
          <w:color w:val="002516"/>
          <w:sz w:val="28"/>
        </w:rPr>
        <w:t>5. Recommendations</w:t>
      </w:r>
    </w:p>
    <w:p>
      <w:pPr>
        <w:pStyle w:val="Normal"/>
        <w:rPr/>
      </w:pPr>
      <w:r>
        <w:rPr>
          <w:rFonts w:cs="Arial"/>
          <w:b w:val="false"/>
          <w:i w:val="false"/>
        </w:rPr>
        <w:t>It is recommended that COMDT ACS:</w:t>
      </w:r>
    </w:p>
    <w:p>
      <w:pPr>
        <w:pStyle w:val="Normal"/>
        <w:tabs>
          <w:tab w:val="clear" w:pos="720"/>
          <w:tab w:val="left" w:pos="425" w:leader="none"/>
        </w:tabs>
        <w:spacing w:before="80" w:after="40"/>
        <w:ind w:hanging="425" w:left="425"/>
        <w:rPr/>
      </w:pPr>
      <w:r>
        <w:rPr>
          <w:rFonts w:cs="Arial"/>
          <w:b w:val="false"/>
        </w:rPr>
        <w:t>1.</w:t>
        <w:tab/>
      </w:r>
      <w:r>
        <w:rPr>
          <w:rFonts w:cs="Arial"/>
          <w:b/>
          <w:i w:val="false"/>
        </w:rPr>
        <w:t>Endorse</w:t>
      </w:r>
      <w:r>
        <w:rPr>
          <w:rFonts w:cs="Arial"/>
          <w:b w:val="false"/>
          <w:i w:val="false"/>
        </w:rPr>
        <w:t xml:space="preserve"> the problem statement.</w:t>
      </w:r>
    </w:p>
    <w:p>
      <w:pPr>
        <w:pStyle w:val="Normal"/>
        <w:tabs>
          <w:tab w:val="clear" w:pos="720"/>
          <w:tab w:val="left" w:pos="425" w:leader="none"/>
        </w:tabs>
        <w:spacing w:before="80" w:after="40"/>
        <w:ind w:hanging="425" w:left="425"/>
        <w:rPr/>
      </w:pPr>
      <w:r>
        <w:rPr>
          <w:rFonts w:cs="Arial"/>
          <w:b w:val="false"/>
        </w:rPr>
        <w:t>2.</w:t>
        <w:tab/>
      </w:r>
      <w:r>
        <w:rPr>
          <w:rFonts w:cs="Arial"/>
          <w:b/>
          <w:i w:val="false"/>
        </w:rPr>
        <w:t>Approve</w:t>
      </w:r>
      <w:r>
        <w:rPr>
          <w:rFonts w:cs="Arial"/>
          <w:b w:val="false"/>
          <w:i w:val="false"/>
        </w:rPr>
        <w:t xml:space="preserve"> the recommended relationship between Combat Mindset and Performance Under Pressure.</w:t>
      </w:r>
    </w:p>
    <w:p>
      <w:pPr>
        <w:pStyle w:val="Normal"/>
        <w:tabs>
          <w:tab w:val="clear" w:pos="720"/>
          <w:tab w:val="left" w:pos="425" w:leader="none"/>
        </w:tabs>
        <w:spacing w:before="80" w:after="40"/>
        <w:ind w:hanging="425" w:left="425"/>
        <w:rPr/>
      </w:pPr>
      <w:r>
        <w:rPr>
          <w:rFonts w:cs="Arial"/>
          <w:b w:val="false"/>
        </w:rPr>
        <w:t>3.</w:t>
        <w:tab/>
      </w:r>
      <w:r>
        <w:rPr>
          <w:rFonts w:cs="Arial"/>
          <w:b/>
          <w:i w:val="false"/>
        </w:rPr>
        <w:t>Endorse</w:t>
      </w:r>
      <w:r>
        <w:rPr>
          <w:rFonts w:cs="Arial"/>
          <w:b w:val="false"/>
          <w:i w:val="false"/>
        </w:rPr>
        <w:t xml:space="preserve"> the initial working definitions of Combat Mindset, Performance Under Pressure and the Combat Mindset Framework as the drafting baseline for the programme.</w:t>
      </w:r>
    </w:p>
    <w:p>
      <w:pPr>
        <w:pStyle w:val="Normal"/>
        <w:tabs>
          <w:tab w:val="clear" w:pos="720"/>
          <w:tab w:val="left" w:pos="425" w:leader="none"/>
        </w:tabs>
        <w:spacing w:before="80" w:after="40"/>
        <w:ind w:hanging="425" w:left="425"/>
        <w:rPr/>
      </w:pPr>
      <w:r>
        <w:rPr>
          <w:rFonts w:cs="Arial"/>
          <w:b w:val="false"/>
        </w:rPr>
        <w:t>4.</w:t>
        <w:tab/>
      </w:r>
      <w:r>
        <w:rPr>
          <w:rFonts w:cs="Arial"/>
          <w:b/>
          <w:i w:val="false"/>
        </w:rPr>
        <w:t>Approve</w:t>
      </w:r>
      <w:r>
        <w:rPr>
          <w:rFonts w:cs="Arial"/>
          <w:b w:val="false"/>
          <w:i w:val="false"/>
        </w:rPr>
        <w:t xml:space="preserve"> commencement of the proposed programme of work.</w:t>
      </w:r>
    </w:p>
    <w:p>
      <w:pPr>
        <w:pStyle w:val="Normal"/>
        <w:tabs>
          <w:tab w:val="clear" w:pos="720"/>
          <w:tab w:val="left" w:pos="425" w:leader="none"/>
        </w:tabs>
        <w:spacing w:before="80" w:after="40"/>
        <w:ind w:hanging="425" w:left="425"/>
        <w:rPr/>
      </w:pPr>
      <w:r>
        <w:rPr>
          <w:rFonts w:cs="Arial"/>
          <w:b w:val="false"/>
        </w:rPr>
        <w:t>5.</w:t>
        <w:tab/>
      </w:r>
      <w:r>
        <w:rPr>
          <w:rFonts w:cs="Arial"/>
          <w:b/>
          <w:i w:val="false"/>
        </w:rPr>
        <w:t>Note</w:t>
      </w:r>
      <w:r>
        <w:rPr>
          <w:rFonts w:cs="Arial"/>
          <w:b w:val="false"/>
          <w:i w:val="false"/>
        </w:rPr>
        <w:t xml:space="preserve"> that the programme timeframes are aspirational and that activity may extend into early 2027.</w:t>
      </w:r>
    </w:p>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535" w:leader="none"/>
        <w:tab w:val="right" w:pos="9071" w:leader="none"/>
      </w:tabs>
      <w:spacing w:before="40" w:after="0"/>
      <w:rPr/>
    </w:pPr>
    <w:r>
      <w:rPr>
        <w:rFonts w:cs="Arial"/>
        <w:b w:val="false"/>
        <w:color w:val="000000"/>
        <w:sz w:val="17"/>
      </w:rPr>
      <w:t>Combat Mindset Framework Proposal</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2</w:t>
    </w:r>
    <w:r>
      <w:rPr>
        <w:sz w:val="17"/>
        <w:rFonts w:cs="Arial"/>
      </w:rPr>
      <w:fldChar w:fldCharType="end"/>
    </w:r>
    <w:r>
      <w:rPr>
        <w:rFonts w:cs="Arial"/>
        <w:b w:val="false"/>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8</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535" w:leader="none"/>
        <w:tab w:val="right" w:pos="9071" w:leader="none"/>
      </w:tabs>
      <w:spacing w:before="40" w:after="0"/>
      <w:rPr/>
    </w:pPr>
    <w:r>
      <w:rPr>
        <w:rFonts w:cs="Arial"/>
        <w:b w:val="false"/>
        <w:color w:val="000000"/>
        <w:sz w:val="17"/>
      </w:rPr>
      <w:t>Combat Mindset Framework Proposal</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3</w:t>
    </w:r>
    <w:r>
      <w:rPr>
        <w:sz w:val="17"/>
        <w:rFonts w:cs="Arial"/>
      </w:rPr>
      <w:fldChar w:fldCharType="end"/>
    </w:r>
    <w:r>
      <w:rPr>
        <w:rFonts w:cs="Arial"/>
        <w:b w:val="false"/>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8</w:t>
    </w:r>
    <w:r>
      <w:rPr>
        <w:sz w:val="17"/>
        <w:rFonts w:cs="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535" w:leader="none"/>
        <w:tab w:val="right" w:pos="9071" w:leader="none"/>
      </w:tabs>
      <w:spacing w:before="40" w:after="0"/>
      <w:rPr/>
    </w:pPr>
    <w:r>
      <w:rPr>
        <w:rFonts w:cs="Arial"/>
        <w:b w:val="false"/>
        <w:color w:val="000000"/>
        <w:sz w:val="17"/>
      </w:rPr>
      <w:t>Combat Mindset Framework Proposal</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8</w:t>
    </w:r>
    <w:r>
      <w:rPr>
        <w:sz w:val="17"/>
        <w:rFonts w:cs="Arial"/>
      </w:rPr>
      <w:fldChar w:fldCharType="end"/>
    </w:r>
    <w:r>
      <w:rPr>
        <w:rFonts w:cs="Arial"/>
        <w:b w:val="false"/>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8</w:t>
    </w:r>
    <w:r>
      <w:rPr>
        <w:sz w:val="17"/>
        <w:rFonts w:cs="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88" w:before="0" w:after="120"/>
      <w:jc w:val="left"/>
    </w:pPr>
    <w:rPr>
      <w:rFonts w:ascii="Arial" w:hAnsi="Arial" w:cs="Arial"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Arial" w:hAnsi="Arial" w:cs="Arial"/>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Arial" w:hAnsi="Arial" w:cs="Arial"/>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8</Pages>
  <Words>1709</Words>
  <Characters>10898</Characters>
  <CharactersWithSpaces>12499</CharactersWithSpaces>
  <Paragraphs>108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2026-08-05T08:31:28Z</dcterms:modified>
  <cp:revision>2</cp:revision>
  <dc:subject>Defining, developing and assuring the human-performance capability Army requires to remain effective in combat.</dc:subject>
  <dc:title>Combat Mindset Framework Proposal</dc:title>
</cp:coreProperties>
</file>

<file path=docProps/custom.xml><?xml version="1.0" encoding="utf-8"?>
<Properties xmlns="http://schemas.openxmlformats.org/officeDocument/2006/custom-properties" xmlns:vt="http://schemas.openxmlformats.org/officeDocument/2006/docPropsVTypes"/>
</file>