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Framework Proposal</w:t>
      </w:r>
    </w:p>
    <w:p>
      <w:pPr>
        <w:pStyle w:val="Normal"/>
        <w:spacing w:before="160" w:after="40"/>
        <w:rPr/>
      </w:pPr>
      <w:r>
        <w:rPr>
          <w:rFonts w:cs="Arial" w:ascii="Arial" w:hAnsi="Arial"/>
          <w:color w:val="000000"/>
          <w:sz w:val="26"/>
        </w:rPr>
        <w:t>Remain effective. Act decisively.</w:t>
      </w:r>
    </w:p>
    <w:p>
      <w:pPr>
        <w:pStyle w:val="Normal"/>
        <w:spacing w:before="0" w:after="1680"/>
        <w:rPr/>
      </w:pPr>
      <w:r>
        <w:rPr>
          <w:rFonts w:cs="Arial" w:ascii="Arial" w:hAnsi="Arial"/>
          <w:b/>
          <w:color w:val="C62026"/>
          <w:sz w:val="26"/>
        </w:rPr>
        <w:t>Harder to kill.</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August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v1.0</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403_3067098715">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405_3067098715">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407_3067098715">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409_3067098715">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411_3067098715">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413_3067098715">
            <w:r>
              <w:rPr>
                <w:webHidden/>
                <w:rStyle w:val="IndexLink"/>
                <w:i w:val="false"/>
              </w:rPr>
              <w:t>4. Programme of work</w:t>
            </w:r>
            <w:r>
              <w:rPr>
                <w:rStyle w:val="IndexLink"/>
              </w:rPr>
              <w:tab/>
              <w:t>7</w:t>
            </w:r>
          </w:hyperlink>
        </w:p>
        <w:p>
          <w:pPr>
            <w:pStyle w:val="TOC1"/>
            <w:tabs>
              <w:tab w:val="clear" w:pos="9072"/>
              <w:tab w:val="right" w:pos="9071" w:leader="dot"/>
            </w:tabs>
            <w:rPr/>
          </w:pPr>
          <w:hyperlink w:anchor="__RefHeading___Toc415_3067098715">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17_3067098715">
            <w:r>
              <w:rPr>
                <w:webHidden/>
                <w:rStyle w:val="IndexLink"/>
                <w:i w:val="false"/>
              </w:rPr>
              <w:t>6. Recommendations</w:t>
            </w:r>
            <w:r>
              <w:rPr>
                <w:rStyle w:val="IndexLink"/>
              </w:rPr>
              <w:tab/>
              <w:t>10</w:t>
            </w:r>
          </w:hyperlink>
        </w:p>
        <w:p>
          <w:pPr>
            <w:pStyle w:val="TOC1"/>
            <w:tabs>
              <w:tab w:val="clear" w:pos="9072"/>
              <w:tab w:val="right" w:pos="9071" w:leader="dot"/>
            </w:tabs>
            <w:rPr/>
          </w:pPr>
          <w:hyperlink w:anchor="__RefHeading___Toc419_3067098715">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21_3067098715">
            <w:r>
              <w:rPr>
                <w:webHidden/>
                <w:rStyle w:val="IndexLink"/>
                <w:i w:val="false"/>
              </w:rPr>
              <w:t>Annex A: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403_3067098715"/>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405_3067098715"/>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in conjunction with the Human Performance Cell (HPC), to develop a strategy to close the Combat Mindset policy and doctrine gap. It proposes a problem statement, initial working definitions and their relationship, the Combat Mindset Framework as the organising system, and a programme of work, for decision.</w:t>
      </w:r>
    </w:p>
    <w:p>
      <w:pPr>
        <w:pStyle w:val="Normal"/>
        <w:rPr/>
      </w:pPr>
      <w:r>
        <w:rPr>
          <w:rFonts w:cs="Book Antiqua"/>
          <w:b w:val="false"/>
          <w:i w:val="false"/>
        </w:rPr>
        <w:t>The programme of work is phased: Phase 1 defines terminology, governance, roles and responsibilities; Phase 2 assesses existing doctrine, products, delivery and governance; Phase 3 designs the framework, its delivery system and outcomes; Phase 4 validates the framework with key stakeholders; and Phase 5 delivers the framework for approval and implementation.</w:t>
      </w:r>
    </w:p>
    <w:p>
      <w:pPr>
        <w:pStyle w:val="Normal"/>
        <w:rPr/>
      </w:pPr>
      <w:r>
        <w:rPr>
          <w:rFonts w:cs="Book Antiqua"/>
          <w:b w:val="false"/>
          <w:i w:val="false"/>
        </w:rPr>
        <w:t>Final recommendations and an implementation back brief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407_3067098715"/>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this programme of work in order to achieve that end state.</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409_3067098715"/>
      <w:bookmarkEnd w:id="3"/>
      <w:r>
        <w:rPr>
          <w:rFonts w:cs="Arial" w:ascii="Arial" w:hAnsi="Arial"/>
          <w:b/>
          <w:i w:val="false"/>
          <w:color w:val="002516"/>
          <w:sz w:val="28"/>
        </w:rPr>
        <w:t>2. Terminology and definitions</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Combat Mindset Framework is the organising system through which Army will govern, develop, deliver and assure this effect across provisional capability pillars, developmental outcomes, training products and governance arrangements.</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Combat Mindset Framework.</w:t>
      </w:r>
      <w:r>
        <w:rPr>
          <w:rFonts w:cs="Book Antiqua"/>
          <w:b w:val="false"/>
          <w:i/>
        </w:rPr>
        <w:t xml:space="preserve"> The framework through which Combat Mindset is governed, developed, delivered and assured.</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spacing w:before="120" w:after="160"/>
        <w:ind w:left="567" w:right="567"/>
        <w:rPr/>
      </w:pPr>
      <w:r>
        <w:rPr>
          <w:rFonts w:cs="Book Antiqua"/>
          <w:b w:val="false"/>
          <w:i/>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411_3067098715"/>
      <w:bookmarkEnd w:id="4"/>
      <w:r>
        <w:rPr>
          <w:rFonts w:cs="Arial" w:ascii="Arial" w:hAnsi="Arial"/>
          <w:b/>
          <w:i w:val="false"/>
          <w:color w:val="002516"/>
          <w:sz w:val="28"/>
        </w:rPr>
        <w:t>3. What already exists</w:t>
      </w:r>
    </w:p>
    <w:p>
      <w:pPr>
        <w:pStyle w:val="Heading2"/>
        <w:rPr/>
      </w:pPr>
      <w:r>
        <w:rPr>
          <w:rFonts w:cs="Arial" w:ascii="Arial" w:hAnsi="Arial"/>
          <w:b/>
          <w:i w:val="false"/>
          <w:color w:val="000000"/>
          <w:sz w:val="22"/>
        </w:rPr>
        <w:t>Within ACS</w:t>
      </w:r>
    </w:p>
    <w:p>
      <w:pPr>
        <w:pStyle w:val="Normal"/>
        <w:rPr/>
      </w:pPr>
      <w:r>
        <w:rPr>
          <w:rFonts w:cs="Arial" w:ascii="Arial" w:hAnsi="Arial"/>
          <w:b/>
          <w:i w:val="false"/>
          <w:color w:val="002516"/>
          <w:sz w:val="20"/>
        </w:rPr>
        <w:t>NZALC Leadership Development System</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Arial" w:ascii="Arial" w:hAnsi="Arial"/>
          <w:b/>
          <w:i w:val="false"/>
          <w:color w:val="002516"/>
          <w:sz w:val="20"/>
        </w:rPr>
        <w:t>HPC Cognitive Conditioning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ascii="Arial" w:hAnsi="Arial"/>
          <w:b/>
          <w:i w:val="false"/>
          <w:color w:val="000000"/>
          <w:sz w:val="22"/>
        </w:rPr>
        <w:t>Outside ACS</w:t>
      </w:r>
    </w:p>
    <w:p>
      <w:pPr>
        <w:pStyle w:val="Normal"/>
        <w:rPr/>
      </w:pPr>
      <w:r>
        <w:rPr>
          <w:rFonts w:cs="Arial" w:ascii="Arial" w:hAnsi="Arial"/>
          <w:b/>
          <w:i w:val="false"/>
          <w:color w:val="002516"/>
          <w:sz w:val="20"/>
        </w:rPr>
        <w:t>Army Psychology Services (APS),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2 assessment.</w:t>
      </w:r>
    </w:p>
    <w:p>
      <w:pPr>
        <w:pStyle w:val="Normal"/>
        <w:rPr/>
      </w:pPr>
      <w:r>
        <w:rPr>
          <w:rFonts w:cs="Book Antiqua"/>
          <w:b w:val="false"/>
          <w:i w:val="false"/>
        </w:rPr>
        <w:t>Initial review indicates considerable conceptual alignment across existing products. The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rPr/>
      </w:pPr>
      <w:r>
        <w:rPr>
          <w:rFonts w:cs="Book Antiqua"/>
          <w:b w:val="false"/>
          <w:i w:val="false"/>
        </w:rPr>
        <w:t>A full assessment of existing capability and products will be completed during Phase 2. The products described above contribute to the development of Performance Under Pressure and, where applied in a warfighting context, to Combat Mindset. They do not constitute the doctrinal definitions or the complete framework in isolation.</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413_3067098715"/>
      <w:bookmarkEnd w:id="5"/>
      <w:r>
        <w:rPr>
          <w:rFonts w:cs="Arial" w:ascii="Arial" w:hAnsi="Arial"/>
          <w:b/>
          <w:i w:val="false"/>
          <w:color w:val="002516"/>
          <w:sz w:val="28"/>
        </w:rPr>
        <w:t>4.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Normal"/>
        <w:rPr/>
      </w:pPr>
      <w:r>
        <w:rPr>
          <w:rFonts w:cs="Book Antiqua"/>
          <w:b w:val="false"/>
          <w:i w:val="false"/>
        </w:rPr>
        <w:t>August 2026 is set aside for this paper to be socialised through the chain of command, and the programme is therefore proposed to commence in September 2026. The timeframes below are aspirational. They depend on stakeholder availability and on unit and training establishment programmes, and activity extending into early 2027 is anticipated rather than unforeseen.</w:t>
      </w:r>
    </w:p>
    <w:p>
      <w:pPr>
        <w:pStyle w:val="Heading2"/>
        <w:rPr/>
      </w:pPr>
      <w:r>
        <w:rPr>
          <w:rFonts w:cs="Arial" w:ascii="Arial" w:hAnsi="Arial"/>
          <w:b/>
          <w:i w:val="false"/>
          <w:color w:val="000000"/>
          <w:sz w:val="22"/>
        </w:rPr>
        <w:t>Phase 1: Define (September 2026) (ACS) [proposed – confirm]</w:t>
      </w:r>
    </w:p>
    <w:p>
      <w:pPr>
        <w:pStyle w:val="Normal"/>
        <w:rPr/>
      </w:pPr>
      <w:r>
        <w:rPr>
          <w:rFonts w:cs="Book Antiqua"/>
          <w:b w:val="false"/>
          <w:i w:val="false"/>
        </w:rPr>
        <w:t>Confirm terminology, governance, roles and responsibilities.</w:t>
      </w:r>
    </w:p>
    <w:p>
      <w:pPr>
        <w:pStyle w:val="Normal"/>
        <w:rPr/>
      </w:pPr>
      <w:r>
        <w:rPr>
          <w:rFonts w:cs="Book Antiqua"/>
          <w:b w:val="false"/>
          <w:i w:val="false"/>
        </w:rPr>
        <w:t>Endorse the problem statement, select the terminology option at paragraph 2, and confirm interim sponsorship, capability-integration arrangements and phase leads. Draft for staffing the endorsed definitions of Combat Mindset, Performance Under Pressure and the Combat Mindset Framework, together with the relationship between the three.</w:t>
      </w:r>
    </w:p>
    <w:p>
      <w:pPr>
        <w:pStyle w:val="Normal"/>
        <w:rPr/>
      </w:pPr>
      <w:r>
        <w:rPr>
          <w:rFonts w:cs="Book Antiqua"/>
          <w:b/>
          <w:i w:val="false"/>
        </w:rPr>
        <w:t>Key output.</w:t>
      </w:r>
      <w:r>
        <w:rPr>
          <w:rFonts w:cs="Book Antiqua"/>
          <w:b w:val="false"/>
          <w:i w:val="false"/>
        </w:rPr>
        <w:t xml:space="preserve"> Endorsed problem statement and definitions, and confirmed interim governance.</w:t>
      </w:r>
    </w:p>
    <w:p>
      <w:pPr>
        <w:pStyle w:val="Heading2"/>
        <w:rPr/>
      </w:pPr>
      <w:r>
        <w:rPr>
          <w:rFonts w:cs="Arial" w:ascii="Arial" w:hAnsi="Arial"/>
          <w:b/>
          <w:i w:val="false"/>
          <w:color w:val="000000"/>
          <w:sz w:val="22"/>
        </w:rPr>
        <w:t>Phase 2: Understand (September 2026) (NZALC lead, HPC support) [proposed – confirm]</w:t>
      </w:r>
    </w:p>
    <w:p>
      <w:pPr>
        <w:pStyle w:val="Normal"/>
        <w:rPr/>
      </w:pPr>
      <w:r>
        <w:rPr>
          <w:rFonts w:cs="Book Antiqua"/>
          <w:b w:val="false"/>
          <w:i w:val="false"/>
        </w:rPr>
        <w:t>Assess existing doctrine, products, delivery and governance.</w:t>
      </w:r>
    </w:p>
    <w:p>
      <w:pPr>
        <w:pStyle w:val="Normal"/>
        <w:rPr/>
      </w:pPr>
      <w:r>
        <w:rPr>
          <w:rFonts w:cs="Book Antiqua"/>
          <w:b w:val="false"/>
          <w:i w:val="false"/>
        </w:rPr>
        <w:t>Assess holdings across ACS, NZALC, HPC, APS, ILD, training establishments and selected units against: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Apply the combat-specificity test at paragraph 2 to distinguish products that contribute to the broader Performance Under Pressure capability from those that support its combat-specific expression. Assess COGCON as one developmental product within this assessment, with particular attention to its product boundary, evidence base (including its completed feasibility trials in live military training), ownership, workforce requirements and scalability.</w:t>
      </w:r>
    </w:p>
    <w:p>
      <w:pPr>
        <w:pStyle w:val="Normal"/>
        <w:rPr/>
      </w:pPr>
      <w:r>
        <w:rPr>
          <w:rFonts w:cs="Book Antiqua"/>
          <w:b/>
          <w:i w:val="false"/>
        </w:rPr>
        <w:t>Key output.</w:t>
      </w:r>
      <w:r>
        <w:rPr>
          <w:rFonts w:cs="Book Antiqua"/>
          <w:b w:val="false"/>
          <w:i w:val="false"/>
        </w:rPr>
        <w:t xml:space="preserve"> A capability and product baseline identifying holdings, gaps, duplication and integration opportunities.</w:t>
      </w:r>
    </w:p>
    <w:p>
      <w:pPr>
        <w:pStyle w:val="Heading2"/>
        <w:rPr/>
      </w:pPr>
      <w:r>
        <w:rPr>
          <w:rFonts w:cs="Arial" w:ascii="Arial" w:hAnsi="Arial"/>
          <w:b/>
          <w:i w:val="false"/>
          <w:color w:val="000000"/>
          <w:sz w:val="22"/>
        </w:rPr>
        <w:t>Phase 3: Design (October 2026) (NZALC/HPC joint) [proposed – confirm]</w:t>
      </w:r>
    </w:p>
    <w:p>
      <w:pPr>
        <w:pStyle w:val="Normal"/>
        <w:rPr/>
      </w:pPr>
      <w:r>
        <w:rPr>
          <w:rFonts w:cs="Book Antiqua"/>
          <w:b w:val="false"/>
          <w:i w:val="false"/>
        </w:rPr>
        <w:t>Develop the Combat Mindset Framework, delivery system and outcomes.</w:t>
      </w:r>
    </w:p>
    <w:p>
      <w:pPr>
        <w:pStyle w:val="Normal"/>
        <w:rPr/>
      </w:pPr>
      <w:r>
        <w:rPr>
          <w:rFonts w:cs="Book Antiqua"/>
          <w:b w:val="false"/>
          <w:i w:val="false"/>
        </w:rPr>
        <w:t>Draft the organising system through which Army will govern, develop, deliver and assure Performance Under Pressure and its combat-specific expression. The framework will set out the endorsed definitions and desired operational effect; the capability pillars, refined through the Phase 2 assessment;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Each describes an enduring capability Army seeks to build, and each is subject to validation through the Phase 2 assessment and Phase 4 validation. Training products and methods, including progressive exposure to pressure, scenario and experiential training, field and mission-relevant rehearsal, and physical and cognitive conditioning, are how Army builds them.</w:t>
      </w:r>
    </w:p>
    <w:p>
      <w:pPr>
        <w:pStyle w:val="Normal"/>
        <w:rPr/>
      </w:pPr>
      <w:r>
        <w:rPr>
          <w:rFonts w:cs="Book Antiqua"/>
          <w:b w:val="false"/>
          <w:i w:val="false"/>
        </w:rPr>
        <w:t>Existing products, including the NZALC Leadership Development System and COGCON, will be mapped beneath the relevant pillars rather than treated as the framework itself.</w:t>
      </w:r>
    </w:p>
    <w:p>
      <w:pPr>
        <w:pStyle w:val="Normal"/>
        <w:rPr/>
      </w:pPr>
      <w:r>
        <w:rPr>
          <w:rFonts w:cs="Book Antiqua"/>
          <w:b/>
          <w:i w:val="false"/>
        </w:rPr>
        <w:t>Key output.</w:t>
      </w:r>
      <w:r>
        <w:rPr>
          <w:rFonts w:cs="Book Antiqua"/>
          <w:b w:val="false"/>
          <w:i w:val="false"/>
        </w:rPr>
        <w:t xml:space="preserve"> Draft Framework v1.0, comprising the capability pillars, developmental outcomes, product architecture and assurance criteria.</w:t>
      </w:r>
    </w:p>
    <w:p>
      <w:pPr>
        <w:pStyle w:val="Heading2"/>
        <w:rPr/>
      </w:pPr>
      <w:r>
        <w:rPr>
          <w:rFonts w:cs="Arial" w:ascii="Arial" w:hAnsi="Arial"/>
          <w:b/>
          <w:i w:val="false"/>
          <w:color w:val="000000"/>
          <w:sz w:val="22"/>
        </w:rPr>
        <w:t>Phase 4: Validate (November 2026) (ACS convenes) [proposed – confirm]</w:t>
      </w:r>
    </w:p>
    <w:p>
      <w:pPr>
        <w:pStyle w:val="Normal"/>
        <w:rPr/>
      </w:pPr>
      <w:r>
        <w:rPr>
          <w:rFonts w:cs="Book Antiqua"/>
          <w:b w:val="false"/>
          <w:i w:val="false"/>
        </w:rPr>
        <w:t>Refine the framework with key stakeholders.</w:t>
      </w:r>
    </w:p>
    <w:p>
      <w:pPr>
        <w:pStyle w:val="Normal"/>
        <w:rPr/>
      </w:pPr>
      <w:r>
        <w:rPr>
          <w:rFonts w:cs="Book Antiqua"/>
          <w:b w:val="false"/>
          <w:i w:val="false"/>
        </w:rPr>
        <w:t>Convene ACS, NZALC, HPC, APS, ILD, selected training providers and units to test the framework, product architecture, governance model, implementation priorities, definition clarity and doctrinal coherence. Where time and unit availability permit, bounded pilots will be conducted within this phase or earlier alongside Phase 2 or Phase 3.</w:t>
      </w:r>
    </w:p>
    <w:p>
      <w:pPr>
        <w:pStyle w:val="Normal"/>
        <w:rPr/>
      </w:pPr>
      <w:r>
        <w:rPr>
          <w:rFonts w:cs="Book Antiqua"/>
          <w:b/>
          <w:i w:val="false"/>
        </w:rPr>
        <w:t>Key output.</w:t>
      </w:r>
      <w:r>
        <w:rPr>
          <w:rFonts w:cs="Book Antiqua"/>
          <w:b w:val="false"/>
          <w:i w:val="false"/>
        </w:rPr>
        <w:t xml:space="preserve"> A validated framework and product architecture, with stakeholder positions recorded.</w:t>
      </w:r>
    </w:p>
    <w:p>
      <w:pPr>
        <w:pStyle w:val="Heading2"/>
        <w:rPr/>
      </w:pPr>
      <w:r>
        <w:rPr>
          <w:rFonts w:cs="Arial" w:ascii="Arial" w:hAnsi="Arial"/>
          <w:b/>
          <w:i w:val="false"/>
          <w:color w:val="000000"/>
          <w:sz w:val="22"/>
        </w:rPr>
        <w:t>Phase 5: Implement (late November 2026) (ACS) [proposed – confirm]</w:t>
      </w:r>
    </w:p>
    <w:p>
      <w:pPr>
        <w:pStyle w:val="Normal"/>
        <w:rPr/>
      </w:pPr>
      <w:r>
        <w:rPr>
          <w:rFonts w:cs="Book Antiqua"/>
          <w:b w:val="false"/>
          <w:i w:val="false"/>
        </w:rPr>
        <w:t>Deliver the framework for approval and implementation.</w:t>
      </w:r>
    </w:p>
    <w:p>
      <w:pPr>
        <w:pStyle w:val="Normal"/>
        <w:rPr/>
      </w:pPr>
      <w:r>
        <w:rPr>
          <w:rFonts w:cs="Book Antiqua"/>
          <w:b w:val="false"/>
          <w:i w:val="false"/>
        </w:rPr>
        <w:t>Present to COMDT ACS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Normal"/>
        <w:rPr/>
      </w:pPr>
      <w:r>
        <w:rPr>
          <w:rFonts w:cs="Book Antiqua"/>
          <w:b/>
          <w:i w:val="false"/>
        </w:rPr>
        <w:t>Key output.</w:t>
      </w:r>
      <w:r>
        <w:rPr>
          <w:rFonts w:cs="Book Antiqua"/>
          <w:b w:val="false"/>
          <w:i w:val="false"/>
        </w:rPr>
        <w:t xml:space="preserve"> Framework v1.0 submitted for approval, with an implementation plan and back brief to COMDT ACS.</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415_3067098715"/>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1.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strategic sponsor for Combat Mindset, the enabling Performance Under Pressure capability and the Combat Mindset Framework; to be confirmed at Phase 1,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APS,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17_3067098715"/>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Combat Mindset Framework through the proposed capability and product assessment, framework design and validation activity, noting that the provisional capability pillars and the contribution, maturity, evidence, ownership and appropriate nesting of existing products (including the NZALC Leadership Development System, COGCON and APS products)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30 September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(Remain effective. Act decisively. Harder to kill.),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19_3067098715"/>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APS, ILD and doctrinal holdings will be confirmed and referenced through the Phase 2 assessment.</w:t>
      </w:r>
    </w:p>
    <w:p>
      <w:pPr>
        <w:pStyle w:val="Heading1"/>
        <w:pBdr>
          <w:left w:val="single" w:sz="24" w:space="8" w:color="C62026"/>
        </w:pBdr>
        <w:rPr/>
      </w:pPr>
      <w:bookmarkStart w:id="9" w:name="__RefHeading___Toc421_3067098715"/>
      <w:bookmarkEnd w:id="9"/>
      <w:r>
        <w:rPr>
          <w:rFonts w:cs="Arial" w:ascii="Arial" w:hAnsi="Arial"/>
          <w:b/>
          <w:i w:val="false"/>
          <w:color w:val="002516"/>
          <w:sz w:val="28"/>
        </w:rPr>
        <w:t>Annex A: Interim governance and division of functions</w:t>
      </w:r>
    </w:p>
    <w:p>
      <w:pPr>
        <w:pStyle w:val="Normal"/>
        <w:rPr/>
      </w:pPr>
      <w:r>
        <w:rPr>
          <w:rFonts w:cs="Book Antiqua"/>
          <w:b w:val="false"/>
          <w:i w:val="false"/>
        </w:rPr>
        <w:t>The following division of functions is proposed for confirmation at Phase 1 and refinement through the Phase 2 assessment and Phase 4 validation.</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2645</Words>
  <Characters>17053</Characters>
  <CharactersWithSpaces>19522</CharactersWithSpaces>
  <Paragraphs>181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2026-08-05T02:58:40Z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