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A18011</w:t>
      </w:r>
    </w:p>
    <w:p>
      <w:pPr>
        <w:pStyle w:val="Normal"/>
        <w:keepNext w:val="true"/>
        <w:pageBreakBefore w:val="false"/>
        <w:spacing w:before="0" w:after="80"/>
        <w:rPr/>
      </w:pPr>
      <w:r>
        <w:rPr>
          <w:rFonts w:cs="Arial"/>
          <w:b/>
          <w:color w:val="000000"/>
          <w:sz w:val="48"/>
        </w:rPr>
        <w:t>ELDA Lead Teams</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A18011, AL 3.0</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i w:val="false"/>
          <w:color w:val="002516"/>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val="false"/>
          <w:i w:val="false"/>
          <w:color w:val="8A8A8A"/>
          <w:spacing w:val="15"/>
          <w:sz w:val="17"/>
        </w:rPr>
        <w:t>COMMAND</w:t>
      </w:r>
    </w:p>
    <w:p>
      <w:pPr>
        <w:pStyle w:val="Heading1"/>
        <w:rPr/>
      </w:pPr>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A18011</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Lead Teams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6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Regular Force personnel selected to undertake the A1530 Promotion All Corps RF JNCO Course.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leadership and self-management strategies developed on ELDA Lead Teams throughout the remainder of the A1530 JNCO Course and in the workplace.</w:t>
            </w:r>
            <w:r>
              <w:rPr/>
              <w:br/>
            </w:r>
            <w:r>
              <w:rPr>
                <w:rFonts w:cs="Arial"/>
                <w:b w:val="false"/>
                <w:i w:val="false"/>
                <w:sz w:val="19"/>
              </w:rPr>
              <w:t>2. Continue deliberate reflection, self-evaluation and development of individual leadership effectiveness.</w:t>
            </w:r>
          </w:p>
        </w:tc>
      </w:tr>
    </w:tbl>
    <w:p>
      <w:pPr>
        <w:pStyle w:val="Normal"/>
        <w:spacing w:before="0" w:after="120"/>
        <w:rPr/>
      </w:pPr>
      <w:r>
        <w:rPr/>
      </w:r>
    </w:p>
    <w:p>
      <w:pPr>
        <w:pStyle w:val="Heading1"/>
        <w:rPr/>
      </w:pPr>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8 / Maximum: 32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N/A</w:t>
            </w:r>
          </w:p>
        </w:tc>
      </w:tr>
    </w:tbl>
    <w:p>
      <w:pPr>
        <w:pStyle w:val="Normal"/>
        <w:spacing w:before="0" w:after="120"/>
        <w:rPr/>
      </w:pPr>
      <w:r>
        <w:rPr/>
      </w:r>
    </w:p>
    <w:p>
      <w:pPr>
        <w:pStyle w:val="Heading1"/>
        <w:rPr/>
      </w:pPr>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Chief Instructor, New Zealand Army Leadership Centre</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5"/>
        </w:rPr>
        <w:t>Nominations and Enrolments</w:t>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Lead Teams is an included course within the A1530 Promotion All Corps RF JNCO Course.</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ELDA Lead Teams is to be completed during the initial phase of the A1530 JNCO Course.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ELDA Lead Teams is to be delivered prior to D03020 LDS Lead Teams, where that sequencing requirement remains current.</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The Learning Provider is the New Zealand Army Leadership Centre (NZALC).</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5"/>
        </w:rPr>
        <w:t>Course Structure</w:t>
      </w:r>
    </w:p>
    <w:p>
      <w:pPr>
        <w:pStyle w:val="Normal"/>
        <w:keepNext w:val="true"/>
        <w:spacing w:before="240" w:after="80"/>
        <w:rPr/>
      </w:pPr>
      <w:r>
        <w:rPr>
          <w:rFonts w:cs="Arial"/>
          <w:b/>
          <w:i w:val="false"/>
          <w:color w:val="002516"/>
          <w:sz w:val="21"/>
        </w:rPr>
        <w:t>COG 1: Experiential Leadership Development</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Apply strategies to maintain effective performance under pressure</w:t>
      </w:r>
    </w:p>
    <w:p>
      <w:pPr>
        <w:pStyle w:val="Normal"/>
        <w:spacing w:before="0" w:after="80"/>
        <w:ind w:left="312"/>
        <w:rPr/>
      </w:pPr>
      <w:r>
        <w:rPr>
          <w:rFonts w:cs="Arial"/>
          <w:b w:val="false"/>
          <w:i w:val="false"/>
        </w:rPr>
        <w:t>Learners apply appropriate self-management strategies to maintain effective individual performance when exposed to physical, cognitive and interpersonal pressure.</w:t>
      </w:r>
    </w:p>
    <w:p>
      <w:pPr>
        <w:pStyle w:val="Normal"/>
        <w:spacing w:before="0" w:after="80"/>
        <w:ind w:left="312"/>
        <w:rPr/>
      </w:pPr>
      <w:r>
        <w:rPr>
          <w:rFonts w:cs="Arial"/>
          <w:b w:val="false"/>
          <w:i w:val="false"/>
        </w:rPr>
        <w:t>This encompasses the practical application of relevant performance-under-pressure tools and techniques rather than simply knowledge of those techniques.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Apply effective leadership behaviours within a small team under challenging conditions</w:t>
      </w:r>
    </w:p>
    <w:p>
      <w:pPr>
        <w:pStyle w:val="Normal"/>
        <w:spacing w:before="0" w:after="80"/>
        <w:ind w:left="312"/>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spacing w:before="0" w:after="80"/>
        <w:ind w:left="312"/>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Evaluate personal leadership performance and develop an individual leadership development plan</w:t>
      </w:r>
    </w:p>
    <w:p>
      <w:pPr>
        <w:pStyle w:val="Normal"/>
        <w:spacing w:before="0" w:after="80"/>
        <w:ind w:left="312"/>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spacing w:before="0" w:after="80"/>
        <w:ind w:left="312"/>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764</Words>
  <Characters>4698</Characters>
  <CharactersWithSpaces>5379</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2026-09-07T01:26:18Z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