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v0.8</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985890399">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985890399">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985890399">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985890399">
            <w:r>
              <w:rPr>
                <w:webHidden/>
                <w:rStyle w:val="IndexLink"/>
                <w:i w:val="false"/>
              </w:rPr>
              <w:t>2. Terminology and definitions — decision sought</w:t>
            </w:r>
            <w:r>
              <w:rPr>
                <w:rStyle w:val="IndexLink"/>
              </w:rPr>
              <w:tab/>
              <w:t>5</w:t>
            </w:r>
          </w:hyperlink>
        </w:p>
        <w:p>
          <w:pPr>
            <w:pStyle w:val="TOC1"/>
            <w:tabs>
              <w:tab w:val="clear" w:pos="9072"/>
              <w:tab w:val="right" w:pos="9071" w:leader="dot"/>
            </w:tabs>
            <w:rPr/>
          </w:pPr>
          <w:hyperlink w:anchor="__RefHeading___Toc394_985890399">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985890399">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985890399">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985890399">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985890399">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985890399">
            <w:r>
              <w:rPr>
                <w:webHidden/>
                <w:rStyle w:val="IndexLink"/>
                <w:i w:val="false"/>
              </w:rPr>
              <w:t>Annex A —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985890399"/>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88_985890399"/>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Army Combat Mindset Framework. The definitions are a drafting baseline; the capability pillars are provisional; the Phase 1 stocktake and stakeholder forum will validate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985890399"/>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stocktake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985890399"/>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provisional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985890399"/>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 a single organising framework beneath which existing products are nested and assured — is consistent with that direction.</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1 stocktake.</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985890399"/>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0: Governance and definition (on endorsement of this paper; target mid-August 2026) (ACS) [proposed – confirm]</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(August–September 2026) (NZALC lead, HPC support) [proposed – confirm]</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using the combat-specificity test at paragraph 2.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(September–October 2026) (NZALC/HPC joint) [proposed – confirm]</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provisional capability pillars, refined through the stocktake;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 subject to validation through the Phase 1 stocktake and stakeholder forum. Each describes an enduring capability Army seeks to build. Training products and methods — including progressive exposure to pressure, scenario and experiential training, field and mission-relevant rehearsal, and physical and cognitive conditioning —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3: Stakeholder forum (October 2026) (ACS convenes) [proposed – confirm]</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 (ACS) [proposed – confirm]</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985890399"/>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 to be confirmed at Phase 0,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985890399"/>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Army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Army Combat Mindset Framework through the proposed capability and product stocktake, framework-development activity and stakeholder forum, noting that the provisional capability pillars and the contribution, maturity, evidence, ownership and appropriate nesting of existing products — including the NZALC Performance Under Pressure package, COGCON and NZDF Psychology products —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 Remain effective. Act decisively. Harder to kill. —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985890399"/>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1 stocktake.</w:t>
      </w:r>
    </w:p>
    <w:p>
      <w:pPr>
        <w:pStyle w:val="Heading1"/>
        <w:pBdr>
          <w:left w:val="single" w:sz="24" w:space="8" w:color="C62026"/>
        </w:pBdr>
        <w:rPr/>
      </w:pPr>
      <w:bookmarkStart w:id="9" w:name="__RefHeading___Toc404_985890399"/>
      <w:bookmarkEnd w:id="9"/>
      <w:r>
        <w:rPr>
          <w:rFonts w:cs="Arial" w:ascii="Arial" w:hAnsi="Arial"/>
          <w:b/>
          <w:i w:val="false"/>
          <w:color w:val="002516"/>
          <w:sz w:val="28"/>
        </w:rPr>
        <w:t>Annex A — Interim governance and division of functions</w:t>
      </w:r>
    </w:p>
    <w:p>
      <w:pPr>
        <w:pStyle w:val="Normal"/>
        <w:rPr/>
      </w:pPr>
      <w:r>
        <w:rPr>
          <w:rFonts w:cs="Book Antiqua"/>
          <w:b w:val="false"/>
          <w:i w:val="false"/>
        </w:rPr>
        <w:t>The following division of functions is proposed for confirmation at Phase 0 and refinement through the Phase 1 stocktake and stakeholder forum.</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2670</Words>
  <Characters>17292</Characters>
  <CharactersWithSpaces>19828</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2026-08-03T03:09:38Z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