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191139808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191139808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191139808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1911398084">
            <w:r>
              <w:rPr>
                <w:webHidden/>
                <w:rStyle w:val="IndexLink"/>
                <w:i w:val="false"/>
              </w:rPr>
              <w:t>2. Terminology and definitions: decision sought</w:t>
            </w:r>
            <w:r>
              <w:rPr>
                <w:rStyle w:val="IndexLink"/>
              </w:rPr>
              <w:tab/>
              <w:t>4</w:t>
            </w:r>
          </w:hyperlink>
        </w:p>
        <w:p>
          <w:pPr>
            <w:pStyle w:val="TOC1"/>
            <w:tabs>
              <w:tab w:val="clear" w:pos="9072"/>
              <w:tab w:val="right" w:pos="9071" w:leader="dot"/>
            </w:tabs>
            <w:rPr/>
          </w:pPr>
          <w:hyperlink w:anchor="__RefHeading___Toc394_191139808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1911398084">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1911398084">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191139808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191139808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1911398084">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191139808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8_191139808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conducts bounded pilots;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191139808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(notably by NZDF Psychology)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assessment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1911398084"/>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1911398084"/>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1911398084"/>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191139808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191139808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191139808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4_1911398084"/>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2612</Words>
  <Characters>16996</Characters>
  <CharactersWithSpaces>19442</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2026-08-05T02:28:31Z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