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pBdr>
          <w:bottom w:val="single" w:sz="20" w:space="10" w:color="C62026"/>
        </w:pBdr>
        <w:spacing w:before="0" w:after="200"/>
        <w:rPr/>
      </w:pPr>
      <w:r>
        <w:rPr>
          <w:rFonts w:cs="Arial" w:ascii="Arial" w:hAnsi="Arial"/>
          <w:b/>
          <w:color w:val="000000"/>
          <w:sz w:val="52"/>
        </w:rPr>
        <w:t>Combat Mindset — Proposed Way Forward</w:t>
      </w:r>
    </w:p>
    <w:p>
      <w:pPr>
        <w:pStyle w:val="Normal"/>
        <w:spacing w:before="120" w:after="280"/>
        <w:rPr/>
      </w:pPr>
      <w:r>
        <w:rPr>
          <w:rFonts w:cs="Arial" w:ascii="Arial" w:hAnsi="Arial"/>
          <w:color w:val="002516"/>
          <w:sz w:val="26"/>
        </w:rPr>
        <w:t>Joint NZALC and Human Performance Cell response to COMDT ACS</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NZALC/HPC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Major M Coom, CI NZALC · Jacques Rousseau, Human Performance Cell</w:t>
      </w:r>
    </w:p>
    <w:p>
      <w:pPr>
        <w:pStyle w:val="Normal"/>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v0.2</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Distribution</w:t>
        <w:tab/>
      </w:r>
      <w:r>
        <w:rPr>
          <w:rFonts w:cs="Arial" w:ascii="Arial" w:hAnsi="Arial"/>
          <w:color w:val="000000"/>
          <w:sz w:val="20"/>
        </w:rPr>
        <w:t>COMDT ACS</w:t>
      </w:r>
    </w:p>
    <w:p>
      <w:pPr>
        <w:pStyle w:val="Normal"/>
        <w:rPr/>
      </w:pPr>
      <w:r>
        <w:rPr/>
      </w:r>
      <w:r>
        <w:br w:type="page"/>
      </w:r>
    </w:p>
    <w:p>
      <w:pPr>
        <w:pStyle w:val="Heading1"/>
        <w:pBdr>
          <w:left w:val="single" w:sz="24" w:space="8" w:color="C62026"/>
        </w:pBdr>
        <w:spacing w:before="0" w:after="160"/>
        <w:rPr/>
      </w:pPr>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NZALC and the Human Performance Cell to jointly develop a strategy to close the Combat Mindset doctrine and policy gap. It proposes an agreed problem statement, a terminology construct for decision, a programme of work, interim governance arrangements, and an approach for mapping and appropriately nesting existing training products beneath an Army Combat Mindset Framework.</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1. The problem</w:t>
      </w:r>
    </w:p>
    <w:p>
      <w:pPr>
        <w:pStyle w:val="Normal"/>
        <w:rPr/>
      </w:pPr>
      <w:r>
        <w:rPr>
          <w:rFonts w:cs="Book Antiqua"/>
          <w:b w:val="false"/>
          <w:i w:val="false"/>
        </w:rPr>
        <w:t>Army does not currently have an endorsed, Army-wide definition, doctrine, governance or assurance model for Combat Mindset, despite the term being in active use and despite Army's drive toward an increased Warfighter Focus. The COMDT ACS guidance and the NZALC capability note reach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force employers.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 as stated in the NZALC capability note:</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Sufficient evidence and existing capability are available to commence governance, mapping and framework development immediately. The present gap is principally institutional and integrative.</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2. Terminology — decision sought</w:t>
      </w:r>
    </w:p>
    <w:p>
      <w:pPr>
        <w:pStyle w:val="Normal"/>
        <w:rPr/>
      </w:pPr>
      <w:r>
        <w:rPr>
          <w:rFonts w:cs="Book Antiqua"/>
          <w:b w:val="false"/>
          <w:i w:val="false"/>
        </w:rPr>
        <w:t>The COMDT ACS guidance and the NZALC capability note differ on one structural point: which term sits at the top of the hierarchy. This is the single decision required before the framework can be drafted. Two options are offered.</w:t>
      </w:r>
    </w:p>
    <w:p>
      <w:pPr>
        <w:pStyle w:val="Heading2"/>
        <w:rPr/>
      </w:pPr>
      <w:r>
        <w:rPr>
          <w:rFonts w:cs="Arial" w:ascii="Arial" w:hAnsi="Arial"/>
          <w:b/>
          <w:i w:val="false"/>
          <w:color w:val="000000"/>
          <w:sz w:val="22"/>
        </w:rPr>
        <w:t>Option 1 — Combat Mindset as the operational frame; Performance Under Pressure as the underlying capability (recommended)</w:t>
      </w:r>
    </w:p>
    <w:p>
      <w:pPr>
        <w:pStyle w:val="Normal"/>
        <w:rPr/>
      </w:pPr>
      <w:r>
        <w:rPr>
          <w:rFonts w:cs="Book Antiqua"/>
          <w:b w:val="false"/>
          <w:i w:val="false"/>
        </w:rPr>
        <w:t>Combat Mindset is the Army-owned operational frame and orienting purpose, aligned to Warfighter Focus. Performance Under Pressure is the trained individual and collective capability beneath it: the capacity to prepare for, remain effective through, adapt within and recover from pressure. Harder to Kill is proposed as a supporting Warfighter Focus communication line, subject to sponsor endorsement, rather than as part of the formal definition.</w:t>
      </w:r>
    </w:p>
    <w:p>
      <w:pPr>
        <w:pStyle w:val="Normal"/>
        <w:pBdr>
          <w:left w:val="single" w:sz="28" w:space="8" w:color="C62026"/>
        </w:pBdr>
        <w:shd w:val="clear" w:color="auto" w:fill="CDD2B7"/>
        <w:spacing w:before="200" w:after="200"/>
        <w:ind w:left="340" w:right="340"/>
        <w:rPr/>
      </w:pPr>
      <w:r>
        <w:rPr>
          <w:rFonts w:cs="Book Antiqua"/>
          <w:b/>
          <w:i w:val="false"/>
        </w:rPr>
        <w:t>Combat Mindset explains why the capability matters to Army. Performance Under Pressure explains what must be developed and sustained in individuals, teams, leaders and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Preserves Combat Mindset as the recognisable, operationally credible Army frame.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the underlying capability applicable Army-wide — command, crisis response, garrison leadership and high-risk technical activity, where pressure exists without an enemy.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or motivation alone.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Allows doctrine, the framework, training products and delivery organisations to nest cleanly beneath the frame.</w:t>
      </w:r>
    </w:p>
    <w:p>
      <w:pPr>
        <w:pStyle w:val="Heading2"/>
        <w:rPr/>
      </w:pPr>
      <w:r>
        <w:rPr>
          <w:rFonts w:cs="Arial" w:ascii="Arial" w:hAnsi="Arial"/>
          <w:b/>
          <w:i w:val="false"/>
          <w:color w:val="000000"/>
          <w:sz w:val="22"/>
        </w:rPr>
        <w:t>Option 2 — Combat Mindset as the umbrella capability</w:t>
      </w:r>
    </w:p>
    <w:p>
      <w:pPr>
        <w:pStyle w:val="Normal"/>
        <w:rPr/>
      </w:pPr>
      <w:r>
        <w:rPr>
          <w:rFonts w:cs="Book Antiqua"/>
          <w:b w:val="false"/>
          <w:i w:val="false"/>
        </w:rPr>
        <w:t>Combat Mindset is the overarching capability, integrating leadership, human performance, resilience, mental skills and performance cognition, with performance under pressure expressed as its intended effect.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one capability, one framework.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Risks excluding the majority of Army activity that is demanding but not combat, and re-importing the definitional confusion identified in the capability note.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3. What already exists</w:t>
      </w:r>
    </w:p>
    <w:p>
      <w:pPr>
        <w:pStyle w:val="Normal"/>
        <w:rPr/>
      </w:pPr>
      <w:r>
        <w:rPr>
          <w:rFonts w:cs="Book Antiqua"/>
          <w:b w:val="false"/>
          <w:i w:val="false"/>
        </w:rPr>
        <w:t>A full capability and product map will be completed during Phase 1.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designed to train selected dimensions of performance cognition under physical and cognitive load: arousal regulation, attention, cognitive control, working memory, performance monitoring and self-knowledge. Its most mature and potentially scalable component is an adaptive dual-task training module combining a tablet-based cognitive task with a concurrent job-relevant information task, progressive difficulty and performance feedback.</w:t>
      </w:r>
    </w:p>
    <w:p>
      <w:pPr>
        <w:pStyle w:val="Normal"/>
        <w:rPr/>
      </w:pPr>
      <w:r>
        <w:rPr>
          <w:rFonts w:cs="Book Antiqua"/>
          <w:b w:val="false"/>
          <w:i w:val="false"/>
        </w:rPr>
        <w:t>COGCON has demonstrated feasibility, participant acceptability and promising training trends in limited military cohorts. It has not yet been validated as a measure of operational readiness or proven through controlled research to improve real-world military performance. Its current status is therefore that of an emerging, evidence-informed training product rather than an endorsed Army-wide capability system.</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Phase 1 mapping.</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4. COGCON minimum viable product</w:t>
      </w:r>
    </w:p>
    <w:p>
      <w:pPr>
        <w:pStyle w:val="Normal"/>
        <w:rPr/>
      </w:pPr>
      <w:r>
        <w:rPr>
          <w:rFonts w:cs="Book Antiqua"/>
          <w:b w:val="false"/>
          <w:i w:val="false"/>
        </w:rPr>
        <w:t>For the purposes of the Combat Mindset programme of work, COGCON will initially be treated as a minimum viable product within the performance-cognition strand of the broader framework.</w:t>
      </w:r>
    </w:p>
    <w:p>
      <w:pPr>
        <w:pStyle w:val="Normal"/>
        <w:rPr/>
      </w:pPr>
      <w:r>
        <w:rPr>
          <w:rFonts w:cs="Book Antiqua"/>
          <w:b w:val="false"/>
          <w:i w:val="false"/>
        </w:rPr>
        <w:t>The COGCON MVP comprises: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short adaptive dual-task activity embedded within existing physical or military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tablet-delivered attention and inhibition task;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concurrent prerecorded operational information task, such as an audio brief;</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immediate recall questions or objective job-task scoring;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controlled difficulty levels and defined progression criteria;</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selected arousal-regulation techniques;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basic performance feedback and longitudinal training records;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train-the-trainer and assurance package allowing delivery by existing training staff.</w:t>
      </w:r>
    </w:p>
    <w:p>
      <w:pPr>
        <w:pStyle w:val="Normal"/>
        <w:rPr/>
      </w:pPr>
      <w:r>
        <w:rPr>
          <w:rFonts w:cs="Book Antiqua"/>
          <w:b w:val="false"/>
          <w:i w:val="false"/>
        </w:rPr>
        <w:t>The MVP does not constitute: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standalone Army course;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complete Combat Mindset or Performance Under Pressure programme;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selection, promotion or diagnostic tool;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validated measure of operational readiness; 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commitment for HPC personnel to deliver the product across Army.</w:t>
      </w:r>
    </w:p>
    <w:p>
      <w:pPr>
        <w:pStyle w:val="Normal"/>
        <w:rPr/>
      </w:pPr>
      <w:r>
        <w:rPr>
          <w:rFonts w:cs="Book Antiqua"/>
          <w:b w:val="false"/>
          <w:i w:val="false"/>
        </w:rPr>
        <w:t>HPC will retain technical stewardship of the COGCON method and provide specialist advice, product development, train-the-trainer support and proportionate assurance within available capacity. Routine delivery, if subsequently approved, will be undertaken through existing training establishments, instructors and physical-training staff.</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5. Proposed programme of work</w:t>
      </w:r>
    </w:p>
    <w:p>
      <w:pPr>
        <w:pStyle w:val="Heading2"/>
        <w:rPr/>
      </w:pPr>
      <w:r>
        <w:rPr>
          <w:rFonts w:cs="Arial" w:ascii="Arial" w:hAnsi="Arial"/>
          <w:b/>
          <w:i w:val="false"/>
          <w:color w:val="000000"/>
          <w:sz w:val="22"/>
        </w:rPr>
        <w:t>Phase 0 — Governance and definition (by end July 2026)</w:t>
      </w:r>
    </w:p>
    <w:p>
      <w:pPr>
        <w:pStyle w:val="Normal"/>
        <w:rPr/>
      </w:pPr>
      <w:r>
        <w:rPr>
          <w:rFonts w:cs="Book Antiqua"/>
          <w:b w:val="false"/>
          <w:i w:val="false"/>
        </w:rPr>
        <w:t>Confirm interim sponsorship and capability-integration arrangements, endorse the problem statement, select the terminology option at paragraph 2, and draft the Army-endorsed definitions of Combat Mindset and Performance Under Pressure for staffing.</w:t>
      </w:r>
    </w:p>
    <w:p>
      <w:pPr>
        <w:pStyle w:val="Heading2"/>
        <w:rPr/>
      </w:pPr>
      <w:r>
        <w:rPr>
          <w:rFonts w:cs="Arial" w:ascii="Arial" w:hAnsi="Arial"/>
          <w:b/>
          <w:i w:val="false"/>
          <w:color w:val="000000"/>
          <w:sz w:val="22"/>
        </w:rPr>
        <w:t>Phase 1 — Capability and product mapping (August 2026)</w:t>
      </w:r>
    </w:p>
    <w:p>
      <w:pPr>
        <w:pStyle w:val="Normal"/>
        <w:rPr/>
      </w:pPr>
      <w:r>
        <w:rPr>
          <w:rFonts w:cs="Book Antiqua"/>
          <w:b w:val="false"/>
          <w:i w:val="false"/>
        </w:rPr>
        <w:t>Map existing doctrine, content, products, courses, instructor capability, delivery activity, evidence, ownership and assurance arrangements across ACS, NZALC, HPC, NZDF Psychology, ILD, training establishments and selected force employers. The mapping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COGCON will be assessed as one developmental product within this map, with particular attention to its MVP boundary, evidence base, ownership, workforce requirements and scalability.</w:t>
      </w:r>
    </w:p>
    <w:p>
      <w:pPr>
        <w:pStyle w:val="Heading2"/>
        <w:rPr/>
      </w:pPr>
      <w:r>
        <w:rPr>
          <w:rFonts w:cs="Arial" w:ascii="Arial" w:hAnsi="Arial"/>
          <w:b/>
          <w:i w:val="false"/>
          <w:color w:val="000000"/>
          <w:sz w:val="22"/>
        </w:rPr>
        <w:t>Phase 2 — Framework and product architecture (September 2026)</w:t>
      </w:r>
    </w:p>
    <w:p>
      <w:pPr>
        <w:pStyle w:val="Normal"/>
        <w:rPr/>
      </w:pPr>
      <w:r>
        <w:rPr>
          <w:rFonts w:cs="Book Antiqua"/>
          <w:b w:val="false"/>
          <w:i w:val="false"/>
        </w:rPr>
        <w:t>Draft the Army Combat Mindset Framework, including the endorsed definition and desired operational effect; the integrated capability strands;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Existing products, including the NZALC Performance Under Pressure package and the COGCON MVP, will be mapped beneath the relevant capability strands rather than treated as the framework itself.</w:t>
      </w:r>
    </w:p>
    <w:p>
      <w:pPr>
        <w:pStyle w:val="Heading2"/>
        <w:rPr/>
      </w:pPr>
      <w:r>
        <w:rPr>
          <w:rFonts w:cs="Arial" w:ascii="Arial" w:hAnsi="Arial"/>
          <w:b/>
          <w:i w:val="false"/>
          <w:color w:val="000000"/>
          <w:sz w:val="22"/>
        </w:rPr>
        <w:t>Phase 3 — Stakeholder forum (September 2026)</w:t>
      </w:r>
    </w:p>
    <w:p>
      <w:pPr>
        <w:pStyle w:val="Normal"/>
        <w:rPr/>
      </w:pPr>
      <w:r>
        <w:rPr>
          <w:rFonts w:cs="Book Antiqua"/>
          <w:b w:val="false"/>
          <w:i w:val="false"/>
        </w:rPr>
        <w:t>Convene ACS, NZALC, HPC, NZDF Psychology, ILD, selected training providers and force employers to refine the framework, product architecture, governance model and implementation priorities.</w:t>
      </w:r>
    </w:p>
    <w:p>
      <w:pPr>
        <w:pStyle w:val="Heading2"/>
        <w:rPr/>
      </w:pPr>
      <w:r>
        <w:rPr>
          <w:rFonts w:cs="Arial" w:ascii="Arial" w:hAnsi="Arial"/>
          <w:b/>
          <w:i w:val="false"/>
          <w:color w:val="000000"/>
          <w:sz w:val="22"/>
        </w:rPr>
        <w:t>Phase 4 — Limited MVP integration trial (October 2026, subject to capacity)</w:t>
      </w:r>
    </w:p>
    <w:p>
      <w:pPr>
        <w:pStyle w:val="Normal"/>
        <w:rPr/>
      </w:pPr>
      <w:r>
        <w:rPr>
          <w:rFonts w:cs="Book Antiqua"/>
          <w:b w:val="false"/>
          <w:i w:val="false"/>
        </w:rPr>
        <w:t>Conduct a controlled trial of the draft framework and the COGCON MVP within one existing ACS or NZALC training activity. The trial will: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delivery staff and training infrastructure;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incorporate one bounded COGCON adaptive dual-task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test whether the product nests coherently beneath the draft framework;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assess instructor burden, delivery consistency and participant usability;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collect proportionate training and implementation evidence;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readiness certification or high-stakes personnel assessment;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identify the workforce, technology, assurance and funding requirements for any wider implementation.</w:t>
      </w:r>
    </w:p>
    <w:p>
      <w:pPr>
        <w:pStyle w:val="Normal"/>
        <w:rPr/>
      </w:pPr>
      <w:r>
        <w:rPr>
          <w:rFonts w:cs="Book Antiqua"/>
          <w:b w:val="false"/>
          <w:i w:val="false"/>
        </w:rPr>
        <w:t>HPC will provide the protocol, specialist advice and limited evaluation support. NZALC or the relevant training provider will lead delivery and structured review. The trial will not create an enduring obligation for HPC to provide routine delivery.</w:t>
      </w:r>
    </w:p>
    <w:p>
      <w:pPr>
        <w:pStyle w:val="Heading2"/>
        <w:rPr/>
      </w:pPr>
      <w:r>
        <w:rPr>
          <w:rFonts w:cs="Arial" w:ascii="Arial" w:hAnsi="Arial"/>
          <w:b/>
          <w:i w:val="false"/>
          <w:color w:val="000000"/>
          <w:sz w:val="22"/>
        </w:rPr>
        <w:t>Phase 5 — Report back (November 2026)</w:t>
      </w:r>
    </w:p>
    <w:p>
      <w:pPr>
        <w:pStyle w:val="Normal"/>
        <w:rPr/>
      </w:pPr>
      <w:r>
        <w:rPr>
          <w:rFonts w:cs="Book Antiqua"/>
          <w:b w:val="false"/>
          <w:i w:val="false"/>
        </w:rPr>
        <w:t>Present Framework v1.0, the validated capability and product map, the results of any limited MVP integration trial, the proposed governance and assurance model, and a prioritised implementation plan. The report will identify whether COGCON should remain a developmental product; undergo further controlled evaluation; be integrated selectively into existing training; be prepared for broader scaling; or cease or change direction.</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6.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owner of the Combat Mindset capability at Army level.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development and delivery coordinator — ACS,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7. Recommendations</w:t>
      </w:r>
    </w:p>
    <w:p>
      <w:pPr>
        <w:pStyle w:val="Normal"/>
        <w:rPr/>
      </w:pPr>
      <w:r>
        <w:rPr>
          <w:rFonts w:cs="Book Antiqua"/>
          <w:b w:val="false"/>
          <w:i w:val="false"/>
        </w:rPr>
        <w:t>It is recommended that COMDT ACS:</w:t>
      </w:r>
    </w:p>
    <w:p>
      <w:pPr>
        <w:pStyle w:val="Normal"/>
        <w:keepNext w:val="true"/>
        <w:tabs>
          <w:tab w:val="clear" w:pos="720"/>
          <w:tab w:val="left" w:pos="425" w:leader="none"/>
        </w:tabs>
        <w:spacing w:before="80" w:after="40"/>
        <w:ind w:hanging="425" w:left="425"/>
        <w:rPr/>
      </w:pPr>
      <w:r>
        <w:rPr>
          <w:rFonts w:cs="Arial" w:ascii="Arial" w:hAnsi="Arial"/>
          <w:b/>
        </w:rPr>
        <w:t>1.</w:t>
        <w:tab/>
      </w:r>
      <w:r>
        <w:rPr>
          <w:rFonts w:cs="Book Antiqua"/>
          <w:b/>
          <w:i w:val="false"/>
        </w:rPr>
        <w:t>Endorse the problem statement</w:t>
      </w:r>
      <w:r>
        <w:rPr>
          <w:rFonts w:cs="Book Antiqua"/>
          <w:b w:val="false"/>
          <w:i w:val="false"/>
        </w:rPr>
        <w:t xml:space="preserve"> at paragraph 1.</w:t>
      </w:r>
    </w:p>
    <w:p>
      <w:pPr>
        <w:pStyle w:val="Normal"/>
        <w:keepNext w:val="true"/>
        <w:tabs>
          <w:tab w:val="clear" w:pos="720"/>
          <w:tab w:val="left" w:pos="425" w:leader="none"/>
        </w:tabs>
        <w:spacing w:before="80" w:after="40"/>
        <w:ind w:hanging="425" w:left="425"/>
        <w:rPr/>
      </w:pPr>
      <w:r>
        <w:rPr>
          <w:rFonts w:cs="Arial" w:ascii="Arial" w:hAnsi="Arial"/>
          <w:b/>
        </w:rPr>
        <w:t>2.</w:t>
        <w:tab/>
      </w:r>
      <w:r>
        <w:rPr>
          <w:rFonts w:cs="Book Antiqua"/>
          <w:b/>
          <w:i w:val="false"/>
        </w:rPr>
        <w:t>Endorse Combat Mindset as the Army operational frame</w:t>
      </w:r>
      <w:r>
        <w:rPr>
          <w:rFonts w:cs="Book Antiqua"/>
          <w:b w:val="false"/>
          <w:i w:val="false"/>
        </w:rPr>
        <w:t xml:space="preserve"> and Performance Under Pressure as the underlying individual and collective capability.</w:t>
      </w:r>
    </w:p>
    <w:p>
      <w:pPr>
        <w:pStyle w:val="Normal"/>
        <w:keepNext w:val="true"/>
        <w:tabs>
          <w:tab w:val="clear" w:pos="720"/>
          <w:tab w:val="left" w:pos="425" w:leader="none"/>
        </w:tabs>
        <w:spacing w:before="80" w:after="40"/>
        <w:ind w:hanging="425" w:left="425"/>
        <w:rPr/>
      </w:pPr>
      <w:r>
        <w:rPr>
          <w:rFonts w:cs="Arial" w:ascii="Arial" w:hAnsi="Arial"/>
          <w:b/>
        </w:rPr>
        <w:t>3.</w:t>
        <w:tab/>
      </w:r>
      <w:r>
        <w:rPr>
          <w:rFonts w:cs="Book Antiqua"/>
          <w:b/>
          <w:i w:val="false"/>
        </w:rPr>
        <w:t>Note that existing programmes and products will be mapped beneath the framework</w:t>
      </w:r>
      <w:r>
        <w:rPr>
          <w:rFonts w:cs="Book Antiqua"/>
          <w:b w:val="false"/>
          <w:i w:val="false"/>
        </w:rPr>
        <w:t xml:space="preserve"> and will not constitute the framework in isolation.</w:t>
      </w:r>
    </w:p>
    <w:p>
      <w:pPr>
        <w:pStyle w:val="Normal"/>
        <w:keepNext w:val="true"/>
        <w:tabs>
          <w:tab w:val="clear" w:pos="720"/>
          <w:tab w:val="left" w:pos="425" w:leader="none"/>
        </w:tabs>
        <w:spacing w:before="80" w:after="40"/>
        <w:ind w:hanging="425" w:left="425"/>
        <w:rPr/>
      </w:pPr>
      <w:r>
        <w:rPr>
          <w:rFonts w:cs="Arial" w:ascii="Arial" w:hAnsi="Arial"/>
          <w:b/>
        </w:rPr>
        <w:t>4.</w:t>
        <w:tab/>
      </w:r>
      <w:r>
        <w:rPr>
          <w:rFonts w:cs="Book Antiqua"/>
          <w:b/>
          <w:i w:val="false"/>
        </w:rPr>
        <w:t>Endorse COGCON's interim status as a developmental MVP</w:t>
      </w:r>
      <w:r>
        <w:rPr>
          <w:rFonts w:cs="Book Antiqua"/>
          <w:b w:val="false"/>
          <w:i w:val="false"/>
        </w:rPr>
        <w:t xml:space="preserve"> within the performance-cognition strand.</w:t>
      </w:r>
    </w:p>
    <w:p>
      <w:pPr>
        <w:pStyle w:val="Normal"/>
        <w:keepNext w:val="true"/>
        <w:tabs>
          <w:tab w:val="clear" w:pos="720"/>
          <w:tab w:val="left" w:pos="425" w:leader="none"/>
        </w:tabs>
        <w:spacing w:before="80" w:after="40"/>
        <w:ind w:hanging="425" w:left="425"/>
        <w:rPr/>
      </w:pPr>
      <w:r>
        <w:rPr>
          <w:rFonts w:cs="Arial" w:ascii="Arial" w:hAnsi="Arial"/>
          <w:b/>
        </w:rPr>
        <w:t>5.</w:t>
        <w:tab/>
      </w:r>
      <w:r>
        <w:rPr>
          <w:rFonts w:cs="Book Antiqua"/>
          <w:b/>
          <w:i w:val="false"/>
        </w:rPr>
        <w:t>Confirm COMDT ACS as the interim capability integrator</w:t>
      </w:r>
      <w:r>
        <w:rPr>
          <w:rFonts w:cs="Book Antiqua"/>
          <w:b w:val="false"/>
          <w:i w:val="false"/>
        </w:rPr>
        <w:t xml:space="preserve"> pending confirmation of the Army Sponsor.</w:t>
      </w:r>
    </w:p>
    <w:p>
      <w:pPr>
        <w:pStyle w:val="Normal"/>
        <w:keepNext w:val="true"/>
        <w:tabs>
          <w:tab w:val="clear" w:pos="720"/>
          <w:tab w:val="left" w:pos="425" w:leader="none"/>
        </w:tabs>
        <w:spacing w:before="80" w:after="40"/>
        <w:ind w:hanging="425" w:left="425"/>
        <w:rPr/>
      </w:pPr>
      <w:r>
        <w:rPr>
          <w:rFonts w:cs="Arial" w:ascii="Arial" w:hAnsi="Arial"/>
          <w:b/>
        </w:rPr>
        <w:t>6.</w:t>
        <w:tab/>
      </w:r>
      <w:r>
        <w:rPr>
          <w:rFonts w:cs="Book Antiqua"/>
          <w:b/>
          <w:i w:val="false"/>
        </w:rPr>
        <w:t>Confirm HPC as the COGCON product steward and performance-cognition adviser</w:t>
      </w:r>
      <w:r>
        <w:rPr>
          <w:rFonts w:cs="Book Antiqua"/>
          <w:b w:val="false"/>
          <w:i w:val="false"/>
        </w:rPr>
        <w:t>, rather than the technical authority for the full Combat Mindset capability.</w:t>
      </w:r>
    </w:p>
    <w:p>
      <w:pPr>
        <w:pStyle w:val="Normal"/>
        <w:keepNext w:val="true"/>
        <w:tabs>
          <w:tab w:val="clear" w:pos="720"/>
          <w:tab w:val="left" w:pos="425" w:leader="none"/>
        </w:tabs>
        <w:spacing w:before="80" w:after="40"/>
        <w:ind w:hanging="425" w:left="425"/>
        <w:rPr/>
      </w:pPr>
      <w:r>
        <w:rPr>
          <w:rFonts w:cs="Arial" w:ascii="Arial" w:hAnsi="Arial"/>
          <w:b/>
        </w:rPr>
        <w:t>7.</w:t>
        <w:tab/>
      </w:r>
      <w:r>
        <w:rPr>
          <w:rFonts w:cs="Book Antiqua"/>
          <w:b/>
          <w:i w:val="false"/>
        </w:rPr>
        <w:t>Approve the revised programme of work</w:t>
      </w:r>
      <w:r>
        <w:rPr>
          <w:rFonts w:cs="Book Antiqua"/>
          <w:b w:val="false"/>
          <w:i w:val="false"/>
        </w:rPr>
        <w:t>, including capability and product mapping, framework development, stakeholder engagement and a limited MVP integration trial subject to resource availability.</w:t>
      </w:r>
    </w:p>
    <w:p>
      <w:pPr>
        <w:pStyle w:val="Normal"/>
        <w:keepNext w:val="true"/>
        <w:tabs>
          <w:tab w:val="clear" w:pos="720"/>
          <w:tab w:val="left" w:pos="425" w:leader="none"/>
        </w:tabs>
        <w:spacing w:before="80" w:after="40"/>
        <w:ind w:hanging="425" w:left="425"/>
        <w:rPr/>
      </w:pPr>
      <w:r>
        <w:rPr>
          <w:rFonts w:cs="Arial" w:ascii="Arial" w:hAnsi="Arial"/>
          <w:b/>
        </w:rPr>
        <w:t>8.</w:t>
        <w:tab/>
      </w:r>
      <w:r>
        <w:rPr>
          <w:rFonts w:cs="Book Antiqua"/>
          <w:b/>
          <w:i w:val="false"/>
        </w:rPr>
        <w:t>Direct that the November 2026 report provide</w:t>
      </w:r>
      <w:r>
        <w:rPr>
          <w:rFonts w:cs="Book Antiqua"/>
          <w:b w:val="false"/>
          <w:i w:val="false"/>
        </w:rPr>
        <w:t xml:space="preserve"> Framework v1.0; the validated capability and product map; a governance and assurance model; an assessment of COGCON's evidence, scalability, resource requirements and appropriate future role; and a prioritised implementation plan.</w:t>
      </w:r>
    </w:p>
    <w:p>
      <w:pPr>
        <w:pStyle w:val="Normal"/>
        <w:rPr/>
      </w:pPr>
      <w:r>
        <w:rPr/>
      </w:r>
      <w:r>
        <w:br w:type="page"/>
      </w:r>
    </w:p>
    <w:p>
      <w:pPr>
        <w:pStyle w:val="Heading1"/>
        <w:pBdr>
          <w:left w:val="single" w:sz="24" w:space="8" w:color="C62026"/>
        </w:pBdr>
        <w:spacing w:before="0" w:after="160"/>
        <w:rPr/>
      </w:pPr>
      <w:r>
        <w:rPr>
          <w:rFonts w:cs="Arial" w:ascii="Arial" w:hAnsi="Arial"/>
          <w:b/>
          <w:i w:val="false"/>
          <w:color w:val="002516"/>
          <w:sz w:val="28"/>
        </w:rPr>
        <w:t>Annex A — Initial capability and product architecture</w:t>
      </w:r>
    </w:p>
    <w:p>
      <w:pPr>
        <w:pStyle w:val="Heading2"/>
        <w:rPr/>
      </w:pPr>
      <w:r>
        <w:rPr>
          <w:rFonts w:cs="Arial" w:ascii="Arial" w:hAnsi="Arial"/>
          <w:b/>
          <w:i w:val="false"/>
          <w:color w:val="000000"/>
          <w:sz w:val="22"/>
        </w:rPr>
        <w:t>A1. Framework levels</w:t>
      </w:r>
    </w:p>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6"/>
        <w:gridCol w:w="4535"/>
      </w:tblGrid>
      <w:tr>
        <w:trPr>
          <w:tblHeader w:val="true"/>
          <w:cantSplit w:val="true"/>
        </w:trPr>
        <w:tc>
          <w:tcPr>
            <w:tcW w:w="4536"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Framework level</w:t>
            </w:r>
          </w:p>
        </w:tc>
        <w:tc>
          <w:tcPr>
            <w:tcW w:w="4535"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Composition</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Army operational frame</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Combat Mindset</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Underlying capability</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Performance Under Pressure</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Capability strands</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Leadership; mental skills; performance cognition; resilience and recovery; physical performance; professional identity and values; individual and collective exposure to pressure</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Training products and methods</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NZALC Performance Under Pressure package; COGCON MVP; NZDF Psychology products; scenario and experiential training; physical conditioning; structured reflection and recovery; other products identified during Phase 1 mapping</w:t>
            </w:r>
          </w:p>
        </w:tc>
      </w:tr>
    </w:tbl>
    <w:p>
      <w:pPr>
        <w:pStyle w:val="Normal"/>
        <w:spacing w:before="0" w:after="160"/>
        <w:rPr/>
      </w:pPr>
      <w:r>
        <w:rPr/>
      </w:r>
    </w:p>
    <w:p>
      <w:pPr>
        <w:pStyle w:val="Heading2"/>
        <w:rPr/>
      </w:pPr>
      <w:r>
        <w:rPr>
          <w:rFonts w:cs="Arial" w:ascii="Arial" w:hAnsi="Arial"/>
          <w:b/>
          <w:i w:val="false"/>
          <w:color w:val="000000"/>
          <w:sz w:val="22"/>
        </w:rPr>
        <w:t>A2. COGCON current nesting</w:t>
      </w:r>
    </w:p>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6"/>
        <w:gridCol w:w="4535"/>
      </w:tblGrid>
      <w:tr>
        <w:trPr>
          <w:tblHeader w:val="true"/>
          <w:cantSplit w:val="true"/>
        </w:trPr>
        <w:tc>
          <w:tcPr>
            <w:tcW w:w="4536"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Attribute</w:t>
            </w:r>
          </w:p>
        </w:tc>
        <w:tc>
          <w:tcPr>
            <w:tcW w:w="4535"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COGCON current position</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Capability strand</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Performance cognition</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Primary level</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Individual / Lead Self</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Secondary applicability</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Selected Lead Teams activity</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Product status</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Developmental MVP</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Current contribution</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Arousal regulation, attention, cognitive control, working memory, performance monitoring and adaptive dual-task conditioning</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Current evidence</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Feasibility, acceptability and promising training trends</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Not yet established</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Causal effectiveness, far transfer, operational-readiness validity and Army-wide scalability</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Product steward</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Human Performance Cell</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Likely delivery model</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Existing instructors or physical-training staff following standardisation and train-the-trainer preparation</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Assurance</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HPC for COGCON product integrity; broader framework assurance through the agreed governance system</w:t>
            </w:r>
          </w:p>
        </w:tc>
      </w:tr>
    </w:tbl>
    <w:p>
      <w:pPr>
        <w:pStyle w:val="Normal"/>
        <w:spacing w:before="0" w:after="160"/>
        <w:rPr/>
      </w:pPr>
      <w:r>
        <w:rPr/>
      </w:r>
    </w:p>
    <w:p>
      <w:pPr>
        <w:pStyle w:val="Heading2"/>
        <w:rPr/>
      </w:pPr>
      <w:r>
        <w:rPr>
          <w:rFonts w:cs="Arial" w:ascii="Arial" w:hAnsi="Arial"/>
          <w:b/>
          <w:i w:val="false"/>
          <w:color w:val="000000"/>
          <w:sz w:val="22"/>
        </w:rPr>
        <w:t>A3. Division of functions</w:t>
      </w:r>
    </w:p>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Function</w:t>
            </w:r>
          </w:p>
        </w:tc>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Lead</w:t>
            </w:r>
          </w:p>
        </w:tc>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Output</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Define and govern</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Army Sponsor / ACS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Endorsed doctrine, definitions, policy direction and capability outcomes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Integrate capability</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ACS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Framework, product architecture, stakeholder coordination and implementation priorities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Develop products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Relevant product owner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Product design, protocols, instructor materials and updates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Provide domain advice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Relevant technical or professional adviser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Specialist advice within leadership, psychology, cognition, learning design, physical performance and other domains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Deliver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Approved training establishments, units and existing instructor workforces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Routine delivery of recognised products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Measure training performance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Delivery organisation, using approved methods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Proportionate training feedback and product-level performance data</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Evaluate product effectiveness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Product owner, with independent evaluation or research support</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Evidence of feasibility, effectiveness, transfer and scalability</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Assure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Layered governance and domain authorities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Doctrine, evidence, professional, learning, delivery and operational assurance</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Review and recover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Relevant leadership and training systems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Reflection, feedback, recovery and developmental planning</w:t>
            </w:r>
          </w:p>
        </w:tc>
      </w:tr>
    </w:tbl>
    <w:p>
      <w:pPr>
        <w:pStyle w:val="Normal"/>
        <w:spacing w:before="0" w:after="160"/>
        <w:rPr/>
      </w:pPr>
      <w:r>
        <w:rPr/>
      </w:r>
    </w:p>
    <w:p>
      <w:pPr>
        <w:pStyle w:val="Heading2"/>
        <w:rPr/>
      </w:pPr>
      <w:r>
        <w:rPr>
          <w:rFonts w:cs="Arial" w:ascii="Arial" w:hAnsi="Arial"/>
          <w:b/>
          <w:i w:val="false"/>
          <w:color w:val="000000"/>
          <w:sz w:val="22"/>
        </w:rPr>
        <w:t>A4. Shared frames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Prepare–Perform–Recover provides a common delivery rhythm across recognised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Lead Self to Lead Systems provides the developmental progression: individual conditioning is likely to be densest in initial and individual training, while leadership, team and systems application deepens across the leadership continuum.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currently contributes principally to selected Prepare and Perform activities within the performance-cognition strand. NZALC and other leadership-development products provide broader preparation, application, structured review and recovery.</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NZALC/HPC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9</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9</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9</Pages>
  <Words>2252</Words>
  <Characters>14723</Characters>
  <CharactersWithSpaces>16808</CharactersWithSpaces>
  <Paragraphs>185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Major M Coom, CI NZALC · Jacques Rousseau, Human Performance Cell</dc:creator>
  <dc:description>generated by python-docx</dc:description>
  <dc:language>en-US</dc:language>
  <cp:lastModifiedBy/>
  <dcterms:modified xsi:type="dcterms:W3CDTF">2026-07-22T21:40:26Z</dcterms:modified>
  <cp:revision>2</cp:revision>
  <dc:subject>Joint NZALC and Human Performance Cell response to COMDT ACS</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