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168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6_970847438">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8_970847438">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0_970847438">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2_970847438">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4_970847438">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6_970847438">
            <w:r>
              <w:rPr>
                <w:webHidden/>
                <w:rStyle w:val="IndexLink"/>
                <w:i w:val="false"/>
              </w:rPr>
              <w:t>4. Programme of work</w:t>
            </w:r>
            <w:r>
              <w:rPr>
                <w:rStyle w:val="IndexLink"/>
              </w:rPr>
              <w:tab/>
              <w:t>6</w:t>
            </w:r>
          </w:hyperlink>
        </w:p>
        <w:p>
          <w:pPr>
            <w:pStyle w:val="TOC1"/>
            <w:tabs>
              <w:tab w:val="clear" w:pos="9072"/>
              <w:tab w:val="right" w:pos="9071" w:leader="dot"/>
            </w:tabs>
            <w:rPr/>
          </w:pPr>
          <w:hyperlink w:anchor="__RefHeading___Toc218_970847438">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6_970847438"/>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8_970847438"/>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0_970847438"/>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2_970847438"/>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4_970847438"/>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6_970847438"/>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where practical, however subsequent design decisions remain dependent upon the endorsed outputs of preceding phases.</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Arial"/>
          <w:b/>
          <w:i w:val="false"/>
        </w:rPr>
        <w:t>Key output.</w:t>
      </w:r>
      <w:r>
        <w:rPr>
          <w:rFonts w:cs="Arial"/>
          <w:b w:val="false"/>
          <w:i w:val="false"/>
        </w:rPr>
        <w:t xml:space="preserve"> A capability and product baseline identifying holdings,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8_970847438"/>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1695</Words>
  <Characters>10823</Characters>
  <CharactersWithSpaces>12411</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2026-08-05T22:03:36Z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