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rPr/>
      </w:pPr>
      <w:r>
        <w:rPr/>
        <w:drawing>
          <wp:inline distT="0" distB="0" distL="0" distR="0">
            <wp:extent cx="1296035" cy="295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96035" cy="295910"/>
                    </a:xfrm>
                    <a:prstGeom prst="rect">
                      <a:avLst/>
                    </a:prstGeom>
                  </pic:spPr>
                </pic:pic>
              </a:graphicData>
            </a:graphic>
          </wp:inline>
        </w:drawing>
      </w:r>
    </w:p>
    <w:p>
      <w:pPr>
        <w:pStyle w:val="Normal"/>
        <w:spacing w:before="0" w:after="20"/>
        <w:rPr/>
      </w:pPr>
      <w:r>
        <w:rPr>
          <w:rFonts w:cs="Arial Black" w:ascii="Arial Black" w:hAnsi="Arial Black"/>
          <w:color w:val="000000"/>
          <w:sz w:val="34"/>
        </w:rPr>
        <w:t>Commander's Training Directive</w:t>
      </w:r>
    </w:p>
    <w:p>
      <w:pPr>
        <w:pStyle w:val="Normal"/>
        <w:pBdr>
          <w:bottom w:val="single" w:sz="18" w:space="8" w:color="D31145"/>
        </w:pBdr>
        <w:spacing w:before="0" w:after="100"/>
        <w:rPr/>
      </w:pPr>
      <w:r>
        <w:rPr>
          <w:rFonts w:cs="Calibri"/>
          <w:b/>
          <w:color w:val="00261B"/>
          <w:sz w:val="22"/>
        </w:rPr>
        <w:t>Individual Training: Interim Direction to Training Schools</w:t>
      </w:r>
    </w:p>
    <w:p>
      <w:pPr>
        <w:pStyle w:val="Normal"/>
        <w:tabs>
          <w:tab w:val="clear" w:pos="720"/>
          <w:tab w:val="left" w:pos="1247" w:leader="none"/>
        </w:tabs>
        <w:spacing w:before="0" w:after="20"/>
        <w:ind w:hanging="1247" w:left="1247"/>
        <w:rPr/>
      </w:pPr>
      <w:r>
        <w:rPr>
          <w:rFonts w:cs="Calibri"/>
          <w:b/>
          <w:color w:val="00261B"/>
          <w:sz w:val="18"/>
        </w:rPr>
        <w:t>Reference</w:t>
        <w:tab/>
      </w:r>
      <w:r>
        <w:rPr>
          <w:rFonts w:cs="Calibri"/>
          <w:b w:val="false"/>
          <w:i w:val="false"/>
          <w:color w:val="D31145"/>
          <w:sz w:val="18"/>
        </w:rPr>
        <w:t>[ATG reference]</w:t>
      </w:r>
    </w:p>
    <w:p>
      <w:pPr>
        <w:pStyle w:val="Normal"/>
        <w:tabs>
          <w:tab w:val="clear" w:pos="720"/>
          <w:tab w:val="left" w:pos="1247" w:leader="none"/>
        </w:tabs>
        <w:spacing w:before="0" w:after="20"/>
        <w:ind w:hanging="1247" w:left="1247"/>
        <w:rPr/>
      </w:pPr>
      <w:r>
        <w:rPr>
          <w:rFonts w:cs="Calibri"/>
          <w:b/>
          <w:color w:val="00261B"/>
          <w:sz w:val="18"/>
        </w:rPr>
        <w:t>Date</w:t>
        <w:tab/>
      </w:r>
      <w:r>
        <w:rPr>
          <w:rFonts w:cs="Calibri"/>
          <w:b w:val="false"/>
          <w:i w:val="false"/>
          <w:color w:val="D31145"/>
          <w:sz w:val="18"/>
        </w:rPr>
        <w:t>[date]</w:t>
      </w:r>
    </w:p>
    <w:p>
      <w:pPr>
        <w:pStyle w:val="Normal"/>
        <w:tabs>
          <w:tab w:val="clear" w:pos="720"/>
          <w:tab w:val="left" w:pos="1247" w:leader="none"/>
        </w:tabs>
        <w:spacing w:before="0" w:after="20"/>
        <w:ind w:hanging="1247" w:left="1247"/>
        <w:rPr/>
      </w:pPr>
      <w:r>
        <w:rPr>
          <w:rFonts w:cs="Calibri"/>
          <w:b/>
          <w:color w:val="00261B"/>
          <w:sz w:val="18"/>
        </w:rPr>
        <w:t>From</w:t>
        <w:tab/>
      </w:r>
      <w:r>
        <w:rPr>
          <w:rFonts w:cs="Calibri"/>
          <w:b w:val="false"/>
          <w:i w:val="false"/>
          <w:sz w:val="18"/>
        </w:rPr>
        <w:t>Commander, Army Training Group</w:t>
      </w:r>
    </w:p>
    <w:p>
      <w:pPr>
        <w:pStyle w:val="Normal"/>
        <w:tabs>
          <w:tab w:val="clear" w:pos="720"/>
          <w:tab w:val="left" w:pos="1247" w:leader="none"/>
        </w:tabs>
        <w:spacing w:before="0" w:after="20"/>
        <w:ind w:hanging="1247" w:left="1247"/>
        <w:rPr/>
      </w:pPr>
      <w:r>
        <w:rPr>
          <w:rFonts w:cs="Calibri"/>
          <w:b/>
          <w:color w:val="00261B"/>
          <w:sz w:val="18"/>
        </w:rPr>
        <w:t>To</w:t>
        <w:tab/>
      </w:r>
      <w:r>
        <w:rPr>
          <w:rFonts w:cs="Calibri"/>
          <w:b w:val="false"/>
          <w:i w:val="false"/>
          <w:color w:val="D31145"/>
          <w:sz w:val="18"/>
        </w:rPr>
        <w:t>[Commandants, Army training schools]</w:t>
      </w:r>
    </w:p>
    <w:p>
      <w:pPr>
        <w:pStyle w:val="Normal"/>
        <w:tabs>
          <w:tab w:val="clear" w:pos="720"/>
          <w:tab w:val="left" w:pos="1247" w:leader="none"/>
        </w:tabs>
        <w:spacing w:before="0" w:after="20"/>
        <w:ind w:hanging="1247" w:left="1247"/>
        <w:rPr/>
      </w:pPr>
      <w:r>
        <w:rPr>
          <w:rFonts w:cs="Calibri"/>
          <w:b/>
          <w:color w:val="00261B"/>
          <w:sz w:val="18"/>
        </w:rPr>
        <w:t>Copy to</w:t>
        <w:tab/>
      </w:r>
      <w:r>
        <w:rPr>
          <w:rFonts w:cs="Calibri"/>
          <w:b w:val="false"/>
          <w:i w:val="false"/>
          <w:color w:val="D31145"/>
          <w:sz w:val="18"/>
        </w:rPr>
        <w:t>[distribution]</w:t>
      </w:r>
    </w:p>
    <w:p>
      <w:pPr>
        <w:pStyle w:val="Normal"/>
        <w:pBdr>
          <w:bottom w:val="single" w:sz="6" w:space="4" w:color="B3A650"/>
        </w:pBdr>
        <w:spacing w:before="80" w:after="0"/>
        <w:rPr/>
      </w:pPr>
      <w:r>
        <w:rPr/>
      </w:r>
    </w:p>
    <w:p>
      <w:pPr>
        <w:pStyle w:val="Heading1"/>
        <w:pBdr>
          <w:top w:val="single" w:sz="12" w:space="6" w:color="000000"/>
        </w:pBdr>
        <w:rPr/>
      </w:pPr>
      <w:r>
        <w:rPr>
          <w:rFonts w:cs="Arial Black" w:ascii="Arial Black" w:hAnsi="Arial Black"/>
          <w:b w:val="false"/>
          <w:i w:val="false"/>
          <w:color w:val="000000"/>
          <w:sz w:val="23"/>
        </w:rPr>
        <w:t>References</w:t>
      </w:r>
    </w:p>
    <w:p>
      <w:pPr>
        <w:pStyle w:val="Normal"/>
        <w:tabs>
          <w:tab w:val="clear" w:pos="720"/>
          <w:tab w:val="left" w:pos="510" w:leader="none"/>
        </w:tabs>
        <w:spacing w:before="0" w:after="100"/>
        <w:ind w:hanging="510" w:left="510"/>
        <w:rPr/>
      </w:pPr>
      <w:r>
        <w:rPr>
          <w:rFonts w:cs="Calibri"/>
        </w:rPr>
        <w:t>A.</w:t>
        <w:tab/>
      </w:r>
      <w:r>
        <w:rPr>
          <w:rFonts w:cs="Calibri"/>
          <w:b w:val="false"/>
          <w:i w:val="false"/>
        </w:rPr>
        <w:t xml:space="preserve">Adult Learning Principles in Defence Training, Sessions 1 to </w:t>
      </w:r>
      <w:r>
        <w:rPr>
          <w:rFonts w:cs="Calibri"/>
          <w:b w:val="false"/>
          <w:i w:val="false"/>
          <w:color w:val="D31145"/>
        </w:rPr>
        <w:t>[X]</w:t>
      </w:r>
      <w:r>
        <w:rPr>
          <w:rFonts w:cs="Calibri"/>
          <w:b w:val="false"/>
          <w:i w:val="false"/>
        </w:rPr>
        <w:t xml:space="preserve">, </w:t>
      </w:r>
      <w:r>
        <w:rPr>
          <w:rFonts w:cs="Calibri"/>
          <w:b w:val="false"/>
          <w:i w:val="false"/>
          <w:color w:val="D31145"/>
        </w:rPr>
        <w:t>[reference]</w:t>
      </w:r>
      <w:r>
        <w:rPr>
          <w:rFonts w:cs="Calibri"/>
          <w:b w:val="false"/>
          <w:i w:val="false"/>
        </w:rPr>
        <w:t xml:space="preserve">, </w:t>
      </w:r>
      <w:r>
        <w:rPr>
          <w:rFonts w:cs="Calibri"/>
          <w:b w:val="false"/>
          <w:i w:val="false"/>
          <w:color w:val="D31145"/>
        </w:rPr>
        <w:t>[date]</w:t>
      </w:r>
      <w:r>
        <w:rPr>
          <w:rFonts w:cs="Calibri"/>
          <w:b w:val="false"/>
          <w:i w:val="false"/>
        </w:rPr>
        <w:t>.</w:t>
      </w:r>
    </w:p>
    <w:p>
      <w:pPr>
        <w:pStyle w:val="Normal"/>
        <w:tabs>
          <w:tab w:val="clear" w:pos="720"/>
          <w:tab w:val="left" w:pos="510" w:leader="none"/>
        </w:tabs>
        <w:spacing w:before="0" w:after="100"/>
        <w:ind w:hanging="510" w:left="510"/>
        <w:rPr/>
      </w:pPr>
      <w:r>
        <w:rPr>
          <w:rFonts w:cs="Calibri"/>
        </w:rPr>
        <w:t>B.</w:t>
        <w:tab/>
      </w:r>
      <w:r>
        <w:rPr>
          <w:rFonts w:cs="Calibri"/>
          <w:b w:val="false"/>
          <w:i w:val="false"/>
        </w:rPr>
        <w:t xml:space="preserve">Individual Training Key Takeaways, </w:t>
      </w:r>
      <w:r>
        <w:rPr>
          <w:rFonts w:cs="Calibri"/>
          <w:b w:val="false"/>
          <w:i w:val="false"/>
          <w:color w:val="D31145"/>
        </w:rPr>
        <w:t>[reference]</w:t>
      </w:r>
      <w:r>
        <w:rPr>
          <w:rFonts w:cs="Calibri"/>
          <w:b w:val="false"/>
          <w:i w:val="false"/>
        </w:rPr>
        <w:t xml:space="preserve">, </w:t>
      </w:r>
      <w:r>
        <w:rPr>
          <w:rFonts w:cs="Calibri"/>
          <w:b w:val="false"/>
          <w:i w:val="false"/>
          <w:color w:val="D31145"/>
        </w:rPr>
        <w:t>[date]</w:t>
      </w:r>
      <w:r>
        <w:rPr>
          <w:rFonts w:cs="Calibri"/>
          <w:b w:val="false"/>
          <w:i w:val="false"/>
        </w:rPr>
        <w:t>.</w:t>
      </w:r>
    </w:p>
    <w:p>
      <w:pPr>
        <w:pStyle w:val="Heading1"/>
        <w:pBdr>
          <w:top w:val="single" w:sz="12" w:space="6" w:color="000000"/>
        </w:pBdr>
        <w:rPr/>
      </w:pPr>
      <w:r>
        <w:rPr>
          <w:rFonts w:cs="Arial Black" w:ascii="Arial Black" w:hAnsi="Arial Black"/>
          <w:b w:val="false"/>
          <w:i w:val="false"/>
          <w:color w:val="000000"/>
          <w:sz w:val="23"/>
        </w:rPr>
        <w:t>Situation</w:t>
      </w:r>
    </w:p>
    <w:p>
      <w:pPr>
        <w:pStyle w:val="Normal"/>
        <w:tabs>
          <w:tab w:val="clear" w:pos="720"/>
          <w:tab w:val="left" w:pos="510" w:leader="none"/>
        </w:tabs>
        <w:spacing w:before="0" w:after="100"/>
        <w:ind w:hanging="510" w:left="510"/>
        <w:rPr/>
      </w:pPr>
      <w:r>
        <w:rPr>
          <w:rFonts w:cs="Calibri"/>
        </w:rPr>
        <w:t>1.</w:t>
        <w:tab/>
      </w:r>
      <w:r>
        <w:rPr>
          <w:rFonts w:cs="Calibri"/>
          <w:b w:val="false"/>
          <w:i w:val="false"/>
        </w:rPr>
        <w:t>Army's training schools each develop individuals to a required standard. Army has not, however, stated in one place how it develops individuals, or how a school should decide the balance of direction, practice, experience and learner autonomy appropriate to a given course. Schools reach sound but unconnected answers, and cannot readily explain why their approaches differ.</w:t>
      </w:r>
    </w:p>
    <w:p>
      <w:pPr>
        <w:pStyle w:val="Normal"/>
        <w:tabs>
          <w:tab w:val="clear" w:pos="720"/>
          <w:tab w:val="left" w:pos="510" w:leader="none"/>
        </w:tabs>
        <w:spacing w:before="0" w:after="100"/>
        <w:ind w:hanging="510" w:left="510"/>
        <w:rPr/>
      </w:pPr>
      <w:r>
        <w:rPr>
          <w:rFonts w:cs="Calibri"/>
        </w:rPr>
        <w:t>2.</w:t>
        <w:tab/>
      </w:r>
      <w:r>
        <w:rPr>
          <w:rFonts w:cs="Calibri"/>
          <w:b w:val="false"/>
          <w:i w:val="false"/>
        </w:rPr>
        <w:t>Army Training Group has derived an approach from Reference A. It is at Annex A. It is not new policy and it does not change any training standard. It names what sound practice across the schools already does, so that it can be applied deliberately, explained, and taught to new instructors.</w:t>
      </w:r>
    </w:p>
    <w:p>
      <w:pPr>
        <w:pStyle w:val="Normal"/>
        <w:tabs>
          <w:tab w:val="clear" w:pos="720"/>
          <w:tab w:val="left" w:pos="510" w:leader="none"/>
        </w:tabs>
        <w:spacing w:before="0" w:after="100"/>
        <w:ind w:hanging="510" w:left="510"/>
        <w:rPr/>
      </w:pPr>
      <w:r>
        <w:rPr>
          <w:rFonts w:cs="Calibri"/>
        </w:rPr>
        <w:t>3.</w:t>
        <w:tab/>
      </w:r>
      <w:r>
        <w:rPr>
          <w:rFonts w:cs="Calibri"/>
          <w:b w:val="false"/>
          <w:i w:val="false"/>
        </w:rPr>
        <w:t xml:space="preserve">This directive issues that approach as interim direction for </w:t>
      </w:r>
      <w:r>
        <w:rPr>
          <w:rFonts w:cs="Calibri"/>
          <w:b w:val="false"/>
          <w:i w:val="false"/>
          <w:color w:val="D31145"/>
        </w:rPr>
        <w:t>[training year]</w:t>
      </w:r>
      <w:r>
        <w:rPr>
          <w:rFonts w:cs="Calibri"/>
          <w:b w:val="false"/>
          <w:i w:val="false"/>
        </w:rPr>
        <w:t>. It is issued now, ahead of the completion of Reference A, so that schools apply it during the coming year and their experience informs the settled version.</w:t>
      </w:r>
    </w:p>
    <w:p>
      <w:pPr>
        <w:pStyle w:val="Heading1"/>
        <w:pBdr>
          <w:top w:val="single" w:sz="12" w:space="6" w:color="000000"/>
        </w:pBdr>
        <w:rPr/>
      </w:pPr>
      <w:r>
        <w:rPr>
          <w:rFonts w:cs="Arial Black" w:ascii="Arial Black" w:hAnsi="Arial Black"/>
          <w:b w:val="false"/>
          <w:i w:val="false"/>
          <w:color w:val="000000"/>
          <w:sz w:val="23"/>
        </w:rPr>
        <w:t>Intent</w:t>
      </w:r>
    </w:p>
    <w:p>
      <w:pPr>
        <w:pStyle w:val="Normal"/>
        <w:pBdr>
          <w:left w:val="single" w:sz="28" w:space="8" w:color="D31145"/>
        </w:pBdr>
        <w:shd w:val="clear" w:color="auto" w:fill="DFD8AD"/>
        <w:spacing w:before="80" w:after="120"/>
        <w:ind w:left="283" w:right="227"/>
        <w:rPr/>
      </w:pPr>
      <w:r>
        <w:rPr>
          <w:rFonts w:cs="Calibri"/>
          <w:b/>
          <w:i w:val="false"/>
          <w:color w:val="00261B"/>
          <w:sz w:val="20"/>
        </w:rPr>
        <w:t>Purpose.</w:t>
      </w:r>
      <w:r>
        <w:rPr>
          <w:rFonts w:cs="Calibri"/>
          <w:b w:val="false"/>
          <w:i w:val="false"/>
          <w:color w:val="00261B"/>
          <w:sz w:val="20"/>
        </w:rPr>
        <w:t xml:space="preserve"> To establish a single Army approach to individual training, so that schools develop individuals coherently against one intent while retaining the judgement their context requires.</w:t>
      </w:r>
      <w:r>
        <w:rPr>
          <w:rFonts w:cs="Calibri"/>
          <w:sz w:val="20"/>
        </w:rPr>
        <w:br/>
      </w:r>
      <w:r>
        <w:rPr>
          <w:rFonts w:cs="Calibri"/>
          <w:b/>
          <w:i w:val="false"/>
          <w:color w:val="00261B"/>
          <w:sz w:val="20"/>
        </w:rPr>
        <w:t>Method.</w:t>
      </w:r>
      <w:r>
        <w:rPr>
          <w:rFonts w:cs="Calibri"/>
          <w:b w:val="false"/>
          <w:i w:val="false"/>
          <w:color w:val="00261B"/>
          <w:sz w:val="20"/>
        </w:rPr>
        <w:t xml:space="preserve"> Schools apply the approach at Annex A to their courses, using the decision rule to determine the balance of direction, practice, experience and learner agency appropriate to each, and return their application at Annex B.</w:t>
      </w:r>
      <w:r>
        <w:rPr>
          <w:rFonts w:cs="Calibri"/>
          <w:sz w:val="20"/>
        </w:rPr>
        <w:br/>
      </w:r>
      <w:r>
        <w:rPr>
          <w:rFonts w:cs="Calibri"/>
          <w:b/>
          <w:i w:val="false"/>
          <w:color w:val="00261B"/>
          <w:sz w:val="20"/>
        </w:rPr>
        <w:t>Endstate.</w:t>
      </w:r>
      <w:r>
        <w:rPr>
          <w:rFonts w:cs="Calibri"/>
          <w:b w:val="false"/>
          <w:i w:val="false"/>
          <w:color w:val="00261B"/>
          <w:sz w:val="20"/>
        </w:rPr>
        <w:t xml:space="preserve"> Every Army individual training course is designed against a common progression and a common decision rule. The required standard is unchanged. Schools can explain how their courses differ and why.</w:t>
      </w:r>
    </w:p>
    <w:p>
      <w:pPr>
        <w:pStyle w:val="Heading1"/>
        <w:pBdr>
          <w:top w:val="single" w:sz="12" w:space="6" w:color="000000"/>
        </w:pBdr>
        <w:rPr/>
      </w:pPr>
      <w:r>
        <w:rPr>
          <w:rFonts w:cs="Arial Black" w:ascii="Arial Black" w:hAnsi="Arial Black"/>
          <w:b w:val="false"/>
          <w:i w:val="false"/>
          <w:color w:val="000000"/>
          <w:sz w:val="23"/>
        </w:rPr>
        <w:t>The Approach</w:t>
      </w:r>
    </w:p>
    <w:p>
      <w:pPr>
        <w:pStyle w:val="Normal"/>
        <w:tabs>
          <w:tab w:val="clear" w:pos="720"/>
          <w:tab w:val="left" w:pos="510" w:leader="none"/>
        </w:tabs>
        <w:spacing w:before="0" w:after="100"/>
        <w:ind w:hanging="510" w:left="510"/>
        <w:rPr/>
      </w:pPr>
      <w:r>
        <w:rPr>
          <w:rFonts w:cs="Calibri"/>
        </w:rPr>
        <w:t>4.</w:t>
        <w:tab/>
      </w:r>
      <w:r>
        <w:rPr>
          <w:rFonts w:cs="Calibri"/>
          <w:b w:val="false"/>
          <w:i w:val="false"/>
        </w:rPr>
        <w:t>The approach is at Annex A. Three elements carry it: a common progression from foundation to performance under pressure; a decision rule that sets how far and how fast an individual moves along it; and a career cycle that continues beyond any single course.</w:t>
      </w:r>
    </w:p>
    <w:p>
      <w:pPr>
        <w:pStyle w:val="Normal"/>
        <w:tabs>
          <w:tab w:val="clear" w:pos="720"/>
          <w:tab w:val="left" w:pos="510" w:leader="none"/>
        </w:tabs>
        <w:spacing w:before="0" w:after="100"/>
        <w:ind w:hanging="510" w:left="510"/>
        <w:rPr/>
      </w:pPr>
      <w:r>
        <w:rPr>
          <w:rFonts w:cs="Calibri"/>
        </w:rPr>
        <w:t>5.</w:t>
        <w:tab/>
      </w:r>
      <w:r>
        <w:rPr>
          <w:rFonts w:cs="Calibri"/>
          <w:b w:val="false"/>
          <w:i w:val="false"/>
        </w:rPr>
        <w:t>The decision rule is the mechanism for coherence, and is the part of this directive that matters most. Schools applying it to different courses will reach different answers. Those answers are coherent because the rule is common, not because the answers match. Commandants are not being asked to converge on a single method; they are being asked to reason the same way.</w:t>
      </w:r>
    </w:p>
    <w:p>
      <w:pPr>
        <w:pStyle w:val="Heading1"/>
        <w:pBdr>
          <w:top w:val="single" w:sz="12" w:space="6" w:color="000000"/>
        </w:pBdr>
        <w:rPr/>
      </w:pPr>
      <w:r>
        <w:rPr>
          <w:rFonts w:cs="Arial Black" w:ascii="Arial Black" w:hAnsi="Arial Black"/>
          <w:b w:val="false"/>
          <w:i w:val="false"/>
          <w:color w:val="000000"/>
          <w:sz w:val="23"/>
        </w:rPr>
        <w:t>Direction</w:t>
      </w:r>
    </w:p>
    <w:p>
      <w:pPr>
        <w:pStyle w:val="Heading2"/>
        <w:rPr/>
      </w:pPr>
      <w:r>
        <w:rPr>
          <w:rFonts w:cs="Calibri"/>
          <w:b/>
          <w:i w:val="false"/>
          <w:color w:val="00261B"/>
          <w:sz w:val="21"/>
        </w:rPr>
        <w:t>Directed</w:t>
      </w:r>
    </w:p>
    <w:p>
      <w:pPr>
        <w:pStyle w:val="Normal"/>
        <w:tabs>
          <w:tab w:val="clear" w:pos="720"/>
          <w:tab w:val="left" w:pos="510" w:leader="none"/>
        </w:tabs>
        <w:spacing w:before="0" w:after="100"/>
        <w:ind w:hanging="510" w:left="510"/>
        <w:rPr/>
      </w:pPr>
      <w:r>
        <w:rPr>
          <w:rFonts w:cs="Calibri"/>
        </w:rPr>
        <w:t>6.</w:t>
        <w:tab/>
      </w:r>
      <w:r>
        <w:rPr>
          <w:rFonts w:cs="Calibri"/>
          <w:b w:val="false"/>
          <w:i w:val="false"/>
        </w:rPr>
        <w:t>The required standard is not adapted. Pathways may vary to suit the individual; the standard does not. Commandants retain operational assurance for the standard achieved.</w:t>
      </w:r>
    </w:p>
    <w:p>
      <w:pPr>
        <w:pStyle w:val="Normal"/>
        <w:tabs>
          <w:tab w:val="clear" w:pos="720"/>
          <w:tab w:val="left" w:pos="510" w:leader="none"/>
        </w:tabs>
        <w:spacing w:before="0" w:after="100"/>
        <w:ind w:hanging="510" w:left="510"/>
        <w:rPr/>
      </w:pPr>
      <w:r>
        <w:rPr>
          <w:rFonts w:cs="Calibri"/>
        </w:rPr>
        <w:t>7.</w:t>
        <w:tab/>
      </w:r>
      <w:r>
        <w:rPr>
          <w:rFonts w:cs="Calibri"/>
          <w:b w:val="false"/>
          <w:i w:val="false"/>
        </w:rPr>
        <w:t>Every course is assessed against the decision rule at Annex A: Risk, Complexity, Learner Competence and Required Operational Outcome.</w:t>
      </w:r>
    </w:p>
    <w:p>
      <w:pPr>
        <w:pStyle w:val="Normal"/>
        <w:tabs>
          <w:tab w:val="clear" w:pos="720"/>
          <w:tab w:val="left" w:pos="510" w:leader="none"/>
        </w:tabs>
        <w:spacing w:before="0" w:after="100"/>
        <w:ind w:hanging="510" w:left="510"/>
        <w:rPr/>
      </w:pPr>
      <w:r>
        <w:rPr>
          <w:rFonts w:cs="Calibri"/>
        </w:rPr>
        <w:t>8.</w:t>
        <w:tab/>
      </w:r>
      <w:r>
        <w:rPr>
          <w:rFonts w:cs="Calibri"/>
          <w:b w:val="false"/>
          <w:i w:val="false"/>
        </w:rPr>
        <w:t>Courses are described against the common progression at Annex A, and that language is used in course documentation and in instructor development.</w:t>
      </w:r>
    </w:p>
    <w:p>
      <w:pPr>
        <w:pStyle w:val="Normal"/>
        <w:tabs>
          <w:tab w:val="clear" w:pos="720"/>
          <w:tab w:val="left" w:pos="510" w:leader="none"/>
        </w:tabs>
        <w:spacing w:before="0" w:after="100"/>
        <w:ind w:hanging="510" w:left="510"/>
        <w:rPr/>
      </w:pPr>
      <w:r>
        <w:rPr>
          <w:rFonts w:cs="Calibri"/>
        </w:rPr>
        <w:t>9.</w:t>
        <w:tab/>
      </w:r>
      <w:r>
        <w:rPr>
          <w:rFonts w:cs="Calibri"/>
          <w:b w:val="false"/>
          <w:i w:val="false"/>
        </w:rPr>
        <w:t>Training design states the operational competence the course produces, not the content it covers.</w:t>
      </w:r>
    </w:p>
    <w:p>
      <w:pPr>
        <w:pStyle w:val="Normal"/>
        <w:tabs>
          <w:tab w:val="clear" w:pos="720"/>
          <w:tab w:val="left" w:pos="510" w:leader="none"/>
        </w:tabs>
        <w:spacing w:before="0" w:after="100"/>
        <w:ind w:hanging="510" w:left="510"/>
        <w:rPr/>
      </w:pPr>
      <w:r>
        <w:rPr>
          <w:rFonts w:cs="Calibri"/>
        </w:rPr>
        <w:t>10.</w:t>
        <w:tab/>
      </w:r>
      <w:r>
        <w:rPr>
          <w:rFonts w:cs="Calibri"/>
          <w:b w:val="false"/>
          <w:i w:val="false"/>
        </w:rPr>
        <w:t>Individual training is planned as continuous. What is required of the individual before and after the course is part of the design, not an adjunct to it.</w:t>
      </w:r>
    </w:p>
    <w:p>
      <w:pPr>
        <w:pStyle w:val="Normal"/>
        <w:tabs>
          <w:tab w:val="clear" w:pos="720"/>
          <w:tab w:val="left" w:pos="510" w:leader="none"/>
        </w:tabs>
        <w:spacing w:before="0" w:after="100"/>
        <w:ind w:hanging="510" w:left="510"/>
        <w:rPr/>
      </w:pPr>
      <w:r>
        <w:rPr>
          <w:rFonts w:cs="Calibri"/>
        </w:rPr>
        <w:t>11.</w:t>
        <w:tab/>
      </w:r>
      <w:r>
        <w:rPr>
          <w:rFonts w:cs="Calibri"/>
          <w:b w:val="false"/>
          <w:i w:val="false"/>
        </w:rPr>
        <w:t>Methods, technology and learning frameworks are selected to achieve the outcome. No method is mandated by this directive and none is prohibited by it.</w:t>
      </w:r>
    </w:p>
    <w:p>
      <w:pPr>
        <w:pStyle w:val="Heading2"/>
        <w:rPr/>
      </w:pPr>
      <w:r>
        <w:rPr>
          <w:rFonts w:cs="Calibri"/>
          <w:b/>
          <w:i w:val="false"/>
          <w:color w:val="00261B"/>
          <w:sz w:val="21"/>
        </w:rPr>
        <w:t>Delegated</w:t>
      </w:r>
    </w:p>
    <w:p>
      <w:pPr>
        <w:pStyle w:val="Normal"/>
        <w:tabs>
          <w:tab w:val="clear" w:pos="720"/>
          <w:tab w:val="left" w:pos="510" w:leader="none"/>
        </w:tabs>
        <w:spacing w:before="0" w:after="100"/>
        <w:ind w:hanging="510" w:left="510"/>
        <w:rPr/>
      </w:pPr>
      <w:r>
        <w:rPr>
          <w:rFonts w:cs="Calibri"/>
        </w:rPr>
        <w:t>12.</w:t>
        <w:tab/>
      </w:r>
      <w:r>
        <w:rPr>
          <w:rFonts w:cs="Calibri"/>
          <w:b w:val="false"/>
          <w:i w:val="false"/>
        </w:rPr>
        <w:t>The following are the Commandant's judgement, and this directive does not constrain them:</w:t>
      </w:r>
    </w:p>
    <w:p>
      <w:pPr>
        <w:pStyle w:val="Normal"/>
        <w:tabs>
          <w:tab w:val="clear" w:pos="720"/>
          <w:tab w:val="left" w:pos="1020" w:leader="none"/>
        </w:tabs>
        <w:spacing w:before="0" w:after="100"/>
        <w:ind w:hanging="510" w:left="1020"/>
        <w:rPr/>
      </w:pPr>
      <w:r>
        <w:rPr>
          <w:rFonts w:cs="Calibri"/>
        </w:rPr>
        <w:t>a.</w:t>
        <w:tab/>
      </w:r>
      <w:r>
        <w:rPr>
          <w:rFonts w:cs="Calibri"/>
          <w:b w:val="false"/>
          <w:i w:val="false"/>
        </w:rPr>
        <w:t>Where each course sits on the progression, and how far along it takes the individual.</w:t>
      </w:r>
    </w:p>
    <w:p>
      <w:pPr>
        <w:pStyle w:val="Normal"/>
        <w:tabs>
          <w:tab w:val="clear" w:pos="720"/>
          <w:tab w:val="left" w:pos="1020" w:leader="none"/>
        </w:tabs>
        <w:spacing w:before="0" w:after="100"/>
        <w:ind w:hanging="510" w:left="1020"/>
        <w:rPr/>
      </w:pPr>
      <w:r>
        <w:rPr>
          <w:rFonts w:cs="Calibri"/>
        </w:rPr>
        <w:t>b.</w:t>
        <w:tab/>
      </w:r>
      <w:r>
        <w:rPr>
          <w:rFonts w:cs="Calibri"/>
          <w:b w:val="false"/>
          <w:i w:val="false"/>
        </w:rPr>
        <w:t>The balance of instructor direction and learner autonomy within a course.</w:t>
      </w:r>
    </w:p>
    <w:p>
      <w:pPr>
        <w:pStyle w:val="Normal"/>
        <w:tabs>
          <w:tab w:val="clear" w:pos="720"/>
          <w:tab w:val="left" w:pos="1020" w:leader="none"/>
        </w:tabs>
        <w:spacing w:before="0" w:after="100"/>
        <w:ind w:hanging="510" w:left="1020"/>
        <w:rPr/>
      </w:pPr>
      <w:r>
        <w:rPr>
          <w:rFonts w:cs="Calibri"/>
        </w:rPr>
        <w:t>c.</w:t>
        <w:tab/>
      </w:r>
      <w:r>
        <w:rPr>
          <w:rFonts w:cs="Calibri"/>
          <w:b w:val="false"/>
          <w:i w:val="false"/>
        </w:rPr>
        <w:t>The methods, technology, simulation and distributed learning used to achieve the outcome.</w:t>
      </w:r>
    </w:p>
    <w:p>
      <w:pPr>
        <w:pStyle w:val="Normal"/>
        <w:tabs>
          <w:tab w:val="clear" w:pos="720"/>
          <w:tab w:val="left" w:pos="1020" w:leader="none"/>
        </w:tabs>
        <w:spacing w:before="0" w:after="100"/>
        <w:ind w:hanging="510" w:left="1020"/>
        <w:rPr/>
      </w:pPr>
      <w:r>
        <w:rPr>
          <w:rFonts w:cs="Calibri"/>
        </w:rPr>
        <w:t>d.</w:t>
        <w:tab/>
      </w:r>
      <w:r>
        <w:rPr>
          <w:rFonts w:cs="Calibri"/>
          <w:b w:val="false"/>
          <w:i w:val="false"/>
        </w:rPr>
        <w:t>How learning before, during and after the course is delivered in the school's context.</w:t>
      </w:r>
    </w:p>
    <w:p>
      <w:pPr>
        <w:pStyle w:val="Normal"/>
        <w:tabs>
          <w:tab w:val="clear" w:pos="720"/>
          <w:tab w:val="left" w:pos="1020" w:leader="none"/>
        </w:tabs>
        <w:spacing w:before="0" w:after="100"/>
        <w:ind w:hanging="510" w:left="1020"/>
        <w:rPr/>
      </w:pPr>
      <w:r>
        <w:rPr>
          <w:rFonts w:cs="Calibri"/>
        </w:rPr>
        <w:t>e.</w:t>
        <w:tab/>
      </w:r>
      <w:r>
        <w:rPr>
          <w:rFonts w:cs="Calibri"/>
          <w:b w:val="false"/>
          <w:i w:val="false"/>
        </w:rPr>
        <w:t>The sequencing and pace of the school's programme.</w:t>
      </w:r>
    </w:p>
    <w:p>
      <w:pPr>
        <w:pStyle w:val="Heading1"/>
        <w:pBdr>
          <w:top w:val="single" w:sz="12" w:space="6" w:color="000000"/>
        </w:pBdr>
        <w:rPr/>
      </w:pPr>
      <w:r>
        <w:rPr>
          <w:rFonts w:cs="Arial Black" w:ascii="Arial Black" w:hAnsi="Arial Black"/>
          <w:b w:val="false"/>
          <w:i w:val="false"/>
          <w:color w:val="000000"/>
          <w:sz w:val="23"/>
        </w:rPr>
        <w:t>Coordinating Instructions</w:t>
      </w:r>
    </w:p>
    <w:p>
      <w:pPr>
        <w:pStyle w:val="Normal"/>
        <w:tabs>
          <w:tab w:val="clear" w:pos="720"/>
          <w:tab w:val="left" w:pos="510" w:leader="none"/>
        </w:tabs>
        <w:spacing w:before="0" w:after="100"/>
        <w:ind w:hanging="510" w:left="510"/>
        <w:rPr/>
      </w:pPr>
      <w:r>
        <w:rPr>
          <w:rFonts w:cs="Calibri"/>
        </w:rPr>
        <w:t>13.</w:t>
        <w:tab/>
      </w:r>
      <w:r>
        <w:rPr>
          <w:rFonts w:cs="Calibri"/>
          <w:b w:val="false"/>
          <w:i w:val="false"/>
        </w:rPr>
        <w:t xml:space="preserve">Schools return the application at Annex B to </w:t>
      </w:r>
      <w:r>
        <w:rPr>
          <w:rFonts w:cs="Calibri"/>
          <w:b w:val="false"/>
          <w:i w:val="false"/>
          <w:color w:val="D31145"/>
        </w:rPr>
        <w:t>[ATG SO2 Training]</w:t>
      </w:r>
      <w:r>
        <w:rPr>
          <w:rFonts w:cs="Calibri"/>
          <w:b w:val="false"/>
          <w:i w:val="false"/>
        </w:rPr>
        <w:t xml:space="preserve"> by </w:t>
      </w:r>
      <w:r>
        <w:rPr>
          <w:rFonts w:cs="Calibri"/>
          <w:b w:val="false"/>
          <w:i w:val="false"/>
          <w:color w:val="D31145"/>
        </w:rPr>
        <w:t>[date]</w:t>
      </w:r>
      <w:r>
        <w:rPr>
          <w:rFonts w:cs="Calibri"/>
          <w:b w:val="false"/>
          <w:i w:val="false"/>
        </w:rPr>
        <w:t xml:space="preserve">, being </w:t>
      </w:r>
      <w:r>
        <w:rPr>
          <w:rFonts w:cs="Calibri"/>
          <w:b w:val="false"/>
          <w:i w:val="false"/>
          <w:color w:val="D31145"/>
        </w:rPr>
        <w:t>[90]</w:t>
      </w:r>
      <w:r>
        <w:rPr>
          <w:rFonts w:cs="Calibri"/>
          <w:b w:val="false"/>
          <w:i w:val="false"/>
        </w:rPr>
        <w:t xml:space="preserve"> days from the date of this directive.</w:t>
      </w:r>
    </w:p>
    <w:p>
      <w:pPr>
        <w:pStyle w:val="Normal"/>
        <w:tabs>
          <w:tab w:val="clear" w:pos="720"/>
          <w:tab w:val="left" w:pos="510" w:leader="none"/>
        </w:tabs>
        <w:spacing w:before="0" w:after="100"/>
        <w:ind w:hanging="510" w:left="510"/>
        <w:rPr/>
      </w:pPr>
      <w:r>
        <w:rPr>
          <w:rFonts w:cs="Calibri"/>
        </w:rPr>
        <w:t>14.</w:t>
        <w:tab/>
      </w:r>
      <w:r>
        <w:rPr>
          <w:rFonts w:cs="Calibri"/>
          <w:b w:val="false"/>
          <w:i w:val="false"/>
        </w:rPr>
        <w:t>Returns are to identify support required from ATG, including any course where the school assesses that the required outcome cannot be achieved within current resources. A return identifying no change is acceptable where the school can show the rule was applied.</w:t>
      </w:r>
    </w:p>
    <w:p>
      <w:pPr>
        <w:pStyle w:val="Normal"/>
        <w:tabs>
          <w:tab w:val="clear" w:pos="720"/>
          <w:tab w:val="left" w:pos="510" w:leader="none"/>
        </w:tabs>
        <w:spacing w:before="0" w:after="100"/>
        <w:ind w:hanging="510" w:left="510"/>
        <w:rPr/>
      </w:pPr>
      <w:r>
        <w:rPr>
          <w:rFonts w:cs="Calibri"/>
        </w:rPr>
        <w:t>15.</w:t>
        <w:tab/>
      </w:r>
      <w:r>
        <w:rPr>
          <w:rFonts w:cs="Calibri"/>
          <w:b w:val="false"/>
          <w:i w:val="false"/>
        </w:rPr>
        <w:t>Annex A is to be displayed in school headquarters and instructor preparation areas.</w:t>
      </w:r>
    </w:p>
    <w:p>
      <w:pPr>
        <w:pStyle w:val="Normal"/>
        <w:tabs>
          <w:tab w:val="clear" w:pos="720"/>
          <w:tab w:val="left" w:pos="510" w:leader="none"/>
        </w:tabs>
        <w:spacing w:before="0" w:after="100"/>
        <w:ind w:hanging="510" w:left="510"/>
        <w:rPr/>
      </w:pPr>
      <w:r>
        <w:rPr>
          <w:rFonts w:cs="Calibri"/>
        </w:rPr>
        <w:t>16.</w:t>
        <w:tab/>
      </w:r>
      <w:r>
        <w:rPr>
          <w:rFonts w:cs="Calibri"/>
          <w:b w:val="false"/>
          <w:i w:val="false"/>
        </w:rPr>
        <w:t xml:space="preserve">This directive is interim. It will be reviewed by </w:t>
      </w:r>
      <w:r>
        <w:rPr>
          <w:rFonts w:cs="Calibri"/>
          <w:b w:val="false"/>
          <w:i w:val="false"/>
          <w:color w:val="D31145"/>
        </w:rPr>
        <w:t>[date]</w:t>
      </w:r>
      <w:r>
        <w:rPr>
          <w:rFonts w:cs="Calibri"/>
          <w:b w:val="false"/>
          <w:i w:val="false"/>
        </w:rPr>
        <w:t xml:space="preserve"> against the returns at paragraph 13 and the completion of Reference A, and reissued as settled direction.</w:t>
      </w:r>
    </w:p>
    <w:p>
      <w:pPr>
        <w:pStyle w:val="Normal"/>
        <w:tabs>
          <w:tab w:val="clear" w:pos="720"/>
          <w:tab w:val="left" w:pos="510" w:leader="none"/>
        </w:tabs>
        <w:spacing w:before="0" w:after="100"/>
        <w:ind w:hanging="510" w:left="510"/>
        <w:rPr/>
      </w:pPr>
      <w:r>
        <w:rPr>
          <w:rFonts w:cs="Calibri"/>
        </w:rPr>
        <w:t>17.</w:t>
        <w:tab/>
      </w:r>
      <w:r>
        <w:rPr>
          <w:rFonts w:cs="Calibri"/>
          <w:b w:val="false"/>
          <w:i w:val="false"/>
        </w:rPr>
        <w:t xml:space="preserve">Point of contact for this directive is </w:t>
      </w:r>
      <w:r>
        <w:rPr>
          <w:rFonts w:cs="Calibri"/>
          <w:b w:val="false"/>
          <w:i w:val="false"/>
          <w:color w:val="D31145"/>
        </w:rPr>
        <w:t>[appointment]</w:t>
      </w:r>
      <w:r>
        <w:rPr>
          <w:rFonts w:cs="Calibri"/>
          <w:b w:val="false"/>
          <w:i w:val="false"/>
        </w:rPr>
        <w:t xml:space="preserve">, </w:t>
      </w:r>
      <w:r>
        <w:rPr>
          <w:rFonts w:cs="Calibri"/>
          <w:b w:val="false"/>
          <w:i w:val="false"/>
          <w:color w:val="D31145"/>
        </w:rPr>
        <w:t>[contact]</w:t>
      </w:r>
      <w:r>
        <w:rPr>
          <w:rFonts w:cs="Calibri"/>
          <w:b w:val="false"/>
          <w:i w:val="false"/>
        </w:rPr>
        <w:t>.</w:t>
      </w:r>
    </w:p>
    <w:p>
      <w:pPr>
        <w:pStyle w:val="Heading1"/>
        <w:pBdr>
          <w:top w:val="single" w:sz="12" w:space="6" w:color="000000"/>
        </w:pBdr>
        <w:rPr/>
      </w:pPr>
      <w:r>
        <w:rPr>
          <w:rFonts w:cs="Arial Black" w:ascii="Arial Black" w:hAnsi="Arial Black"/>
          <w:b w:val="false"/>
          <w:i w:val="false"/>
          <w:color w:val="000000"/>
          <w:sz w:val="23"/>
        </w:rPr>
        <w:t>Annexes</w:t>
      </w:r>
    </w:p>
    <w:p>
      <w:pPr>
        <w:pStyle w:val="Normal"/>
        <w:tabs>
          <w:tab w:val="clear" w:pos="720"/>
          <w:tab w:val="left" w:pos="510" w:leader="none"/>
        </w:tabs>
        <w:spacing w:before="0" w:after="100"/>
        <w:ind w:hanging="510" w:left="510"/>
        <w:rPr/>
      </w:pPr>
      <w:r>
        <w:rPr>
          <w:rFonts w:cs="Calibri"/>
        </w:rPr>
        <w:t>A.</w:t>
        <w:tab/>
      </w:r>
      <w:r>
        <w:rPr>
          <w:rFonts w:cs="Calibri"/>
          <w:b w:val="false"/>
          <w:i w:val="false"/>
        </w:rPr>
        <w:t>The Army Approach to Individual Training.</w:t>
      </w:r>
    </w:p>
    <w:p>
      <w:pPr>
        <w:pStyle w:val="Normal"/>
        <w:tabs>
          <w:tab w:val="clear" w:pos="720"/>
          <w:tab w:val="left" w:pos="510" w:leader="none"/>
        </w:tabs>
        <w:spacing w:before="0" w:after="100"/>
        <w:ind w:hanging="510" w:left="510"/>
        <w:rPr/>
      </w:pPr>
      <w:r>
        <w:rPr>
          <w:rFonts w:cs="Calibri"/>
        </w:rPr>
        <w:t>B.</w:t>
        <w:tab/>
      </w:r>
      <w:r>
        <w:rPr>
          <w:rFonts w:cs="Calibri"/>
          <w:b w:val="false"/>
          <w:i w:val="false"/>
        </w:rPr>
        <w:t>School Application Return.</w:t>
      </w:r>
    </w:p>
    <w:p>
      <w:pPr>
        <w:pStyle w:val="Normal"/>
        <w:spacing w:before="320" w:after="0"/>
        <w:rPr/>
      </w:pPr>
      <w:r>
        <w:rPr/>
      </w:r>
    </w:p>
    <w:p>
      <w:pPr>
        <w:pStyle w:val="Normal"/>
        <w:pBdr>
          <w:top w:val="single" w:sz="8" w:space="2" w:color="000000"/>
        </w:pBdr>
        <w:spacing w:before="0" w:after="60"/>
        <w:ind w:left="5329"/>
        <w:rPr/>
      </w:pPr>
      <w:r>
        <w:rPr/>
      </w:r>
    </w:p>
    <w:p>
      <w:pPr>
        <w:pStyle w:val="Normal"/>
        <w:spacing w:before="0" w:after="0"/>
        <w:ind w:left="5329"/>
        <w:rPr/>
      </w:pPr>
      <w:r>
        <w:rPr>
          <w:rFonts w:cs="Calibri"/>
          <w:b w:val="false"/>
          <w:i w:val="false"/>
          <w:color w:val="D31145"/>
          <w:sz w:val="20"/>
        </w:rPr>
        <w:t>[Name]</w:t>
      </w:r>
    </w:p>
    <w:p>
      <w:pPr>
        <w:pStyle w:val="Normal"/>
        <w:spacing w:before="0" w:after="0"/>
        <w:ind w:left="5329"/>
        <w:rPr/>
      </w:pPr>
      <w:r>
        <w:rPr>
          <w:rFonts w:cs="Calibri"/>
          <w:b w:val="false"/>
          <w:i w:val="false"/>
          <w:color w:val="D31145"/>
          <w:sz w:val="20"/>
        </w:rPr>
        <w:t>[Rank]</w:t>
      </w:r>
    </w:p>
    <w:p>
      <w:pPr>
        <w:pStyle w:val="Normal"/>
        <w:spacing w:before="0" w:after="0"/>
        <w:ind w:left="5329"/>
        <w:rPr/>
      </w:pPr>
      <w:r>
        <w:rPr>
          <w:rFonts w:cs="Calibri"/>
          <w:b w:val="false"/>
          <w:i w:val="false"/>
          <w:sz w:val="20"/>
        </w:rPr>
        <w:t>Commander, Army Training Group</w:t>
      </w:r>
    </w:p>
    <w:p>
      <w:pPr>
        <w:pStyle w:val="Normal"/>
        <w:spacing w:before="0" w:after="0"/>
        <w:rPr/>
      </w:pPr>
      <w:r>
        <w:rPr/>
      </w:r>
      <w:r>
        <w:br w:type="page"/>
      </w:r>
    </w:p>
    <w:p>
      <w:pPr>
        <w:pStyle w:val="Heading1"/>
        <w:pBdr>
          <w:top w:val="single" w:sz="12" w:space="6" w:color="000000"/>
        </w:pBdr>
        <w:spacing w:before="0" w:after="100"/>
        <w:rPr/>
      </w:pPr>
      <w:r>
        <w:rPr>
          <w:rFonts w:cs="Arial Black" w:ascii="Arial Black" w:hAnsi="Arial Black"/>
          <w:b w:val="false"/>
          <w:i w:val="false"/>
          <w:color w:val="000000"/>
          <w:sz w:val="23"/>
        </w:rPr>
        <w:t>Annex A: The Army Approach to Individual Training</w:t>
      </w:r>
    </w:p>
    <w:p>
      <w:pPr>
        <w:pStyle w:val="Normal"/>
        <w:rPr/>
      </w:pPr>
      <w:r>
        <w:rPr>
          <w:rFonts w:cs="Calibri"/>
          <w:b w:val="false"/>
          <w:i w:val="false"/>
        </w:rPr>
        <w:t>The approach issued by this directive, in full. It is stated at Reference B with the evidence supporting it.</w:t>
      </w:r>
    </w:p>
    <w:p>
      <w:pPr>
        <w:pStyle w:val="Normal"/>
        <w:pBdr>
          <w:left w:val="single" w:sz="28" w:space="8" w:color="D31145"/>
        </w:pBdr>
        <w:shd w:val="clear" w:color="auto" w:fill="DFD8AD"/>
        <w:spacing w:before="80" w:after="120"/>
        <w:ind w:left="283" w:right="227"/>
        <w:rPr/>
      </w:pPr>
      <w:r>
        <w:rPr>
          <w:rFonts w:cs="Calibri"/>
          <w:b w:val="false"/>
          <w:i w:val="false"/>
          <w:color w:val="00261B"/>
          <w:sz w:val="20"/>
        </w:rPr>
        <w:t>Army develops individuals progressively and continuously toward operational competence, balancing direction, practice, experience and learner agency according to risk, complexity, competence and operational need.</w:t>
      </w:r>
      <w:r>
        <w:rPr>
          <w:rFonts w:cs="Calibri"/>
          <w:sz w:val="20"/>
        </w:rPr>
        <w:br/>
      </w:r>
      <w:r>
        <w:rPr>
          <w:rFonts w:cs="Calibri"/>
          <w:b w:val="false"/>
          <w:i w:val="false"/>
          <w:color w:val="00261B"/>
          <w:sz w:val="20"/>
        </w:rPr>
        <w:t>The standard is common; the journey to it need not be identical.</w:t>
      </w:r>
    </w:p>
    <w:p>
      <w:pPr>
        <w:pStyle w:val="Heading2"/>
        <w:rPr/>
      </w:pPr>
      <w:r>
        <w:rPr>
          <w:rFonts w:cs="Calibri"/>
          <w:b/>
          <w:i w:val="false"/>
          <w:color w:val="00261B"/>
          <w:sz w:val="21"/>
        </w:rPr>
        <w:t>The progression.</w:t>
      </w:r>
    </w:p>
    <w:p>
      <w:pPr>
        <w:pStyle w:val="Normal"/>
        <w:rPr/>
      </w:pPr>
      <w:r>
        <w:rPr>
          <w:rFonts w:cs="Calibri"/>
          <w:b w:val="false"/>
          <w:i w:val="false"/>
        </w:rPr>
        <w:t>Courses are described against these five stages. Instructor direction decreases across them while learner autonomy, complexity and pressure increase.</w:t>
      </w:r>
    </w:p>
    <w:p>
      <w:pPr>
        <w:pStyle w:val="Normal"/>
        <w:shd w:val="clear" w:color="auto" w:fill="00261B"/>
        <w:spacing w:before="80" w:after="100"/>
        <w:jc w:val="center"/>
        <w:rPr/>
      </w:pPr>
      <w:r>
        <w:rPr>
          <w:rFonts w:cs="Calibri"/>
          <w:b/>
          <w:i w:val="false"/>
          <w:color w:val="FFFFFF"/>
          <w:sz w:val="18"/>
        </w:rPr>
        <w:t>Foundation → Guided Practice → Independent Practice → Applied / Experiential Learning → Performance Under Pressure</w:t>
      </w:r>
    </w:p>
    <w:p>
      <w:pPr>
        <w:pStyle w:val="Heading2"/>
        <w:rPr/>
      </w:pPr>
      <w:r>
        <w:rPr>
          <w:rFonts w:cs="Calibri"/>
          <w:b/>
          <w:i w:val="false"/>
          <w:color w:val="00261B"/>
          <w:sz w:val="21"/>
        </w:rPr>
        <w:t>The decision rule.</w:t>
      </w:r>
    </w:p>
    <w:p>
      <w:pPr>
        <w:pStyle w:val="Normal"/>
        <w:rPr/>
      </w:pPr>
      <w:r>
        <w:rPr>
          <w:rFonts w:cs="Calibri"/>
          <w:b w:val="false"/>
          <w:i w:val="false"/>
        </w:rPr>
        <w:t>How far and how fast an individual progresses. Applied to every course; the common reasoning, not a common answer.</w:t>
      </w:r>
    </w:p>
    <w:p>
      <w:pPr>
        <w:pStyle w:val="Normal"/>
        <w:shd w:val="clear" w:color="auto" w:fill="00261B"/>
        <w:spacing w:before="80" w:after="100"/>
        <w:jc w:val="center"/>
        <w:rPr/>
      </w:pPr>
      <w:r>
        <w:rPr>
          <w:rFonts w:cs="Calibri"/>
          <w:b/>
          <w:i w:val="false"/>
          <w:color w:val="FFFFFF"/>
          <w:sz w:val="18"/>
        </w:rPr>
        <w:t>Risk × Complexity × Learner Competence × Required Operational Outcome</w:t>
      </w:r>
    </w:p>
    <w:p>
      <w:pPr>
        <w:pStyle w:val="Heading2"/>
        <w:rPr/>
      </w:pPr>
      <w:r>
        <w:rPr>
          <w:rFonts w:cs="Calibri"/>
          <w:b/>
          <w:i w:val="false"/>
          <w:color w:val="00261B"/>
          <w:sz w:val="21"/>
        </w:rPr>
        <w:t>The career cycle.</w:t>
      </w:r>
    </w:p>
    <w:p>
      <w:pPr>
        <w:pStyle w:val="Normal"/>
        <w:rPr/>
      </w:pPr>
      <w:r>
        <w:rPr>
          <w:rFonts w:cs="Calibri"/>
          <w:b w:val="false"/>
          <w:i w:val="false"/>
        </w:rPr>
        <w:t>Individual training does not end with a course. Learning is accessible before, during and after formal training.</w:t>
      </w:r>
    </w:p>
    <w:p>
      <w:pPr>
        <w:pStyle w:val="Normal"/>
        <w:shd w:val="clear" w:color="auto" w:fill="00261B"/>
        <w:spacing w:before="80" w:after="100"/>
        <w:jc w:val="center"/>
        <w:rPr/>
      </w:pPr>
      <w:r>
        <w:rPr>
          <w:rFonts w:cs="Calibri"/>
          <w:b/>
          <w:i w:val="false"/>
          <w:color w:val="FFFFFF"/>
          <w:sz w:val="18"/>
        </w:rPr>
        <w:t>Prepare → Learn → Practise → Apply → Perform → Feedback → Reinforce / Adapt</w:t>
      </w:r>
    </w:p>
    <w:p>
      <w:pPr>
        <w:pStyle w:val="Normal"/>
        <w:spacing w:before="0" w:after="0"/>
        <w:rPr/>
      </w:pPr>
      <w:r>
        <w:rPr/>
      </w:r>
      <w:r>
        <w:br w:type="page"/>
      </w:r>
    </w:p>
    <w:p>
      <w:pPr>
        <w:pStyle w:val="Heading1"/>
        <w:pBdr>
          <w:top w:val="single" w:sz="12" w:space="6" w:color="000000"/>
        </w:pBdr>
        <w:spacing w:before="0" w:after="100"/>
        <w:rPr/>
      </w:pPr>
      <w:r>
        <w:rPr>
          <w:rFonts w:cs="Arial Black" w:ascii="Arial Black" w:hAnsi="Arial Black"/>
          <w:b w:val="false"/>
          <w:i w:val="false"/>
          <w:color w:val="000000"/>
          <w:sz w:val="23"/>
        </w:rPr>
        <w:t>Annex B: School Application Return</w:t>
      </w:r>
    </w:p>
    <w:p>
      <w:pPr>
        <w:pStyle w:val="Normal"/>
        <w:rPr/>
      </w:pPr>
      <w:r>
        <w:rPr>
          <w:rFonts w:cs="Calibri"/>
          <w:b w:val="false"/>
          <w:i w:val="false"/>
        </w:rPr>
        <w:t>Return one row per course. Where the assessment leads to no change, say so and show the reasoning. Add rows as required.</w:t>
      </w:r>
    </w:p>
    <w:p>
      <w:pPr>
        <w:pStyle w:val="Normal"/>
        <w:rPr/>
      </w:pPr>
      <w:r>
        <w:rPr>
          <w:rFonts w:cs="Calibri"/>
          <w:b/>
          <w:i w:val="false"/>
        </w:rPr>
        <w:t>School:</w:t>
      </w:r>
      <w:r>
        <w:rPr>
          <w:rFonts w:cs="Calibri"/>
          <w:b w:val="false"/>
          <w:i w:val="false"/>
        </w:rPr>
        <w:t xml:space="preserve"> </w:t>
      </w:r>
      <w:r>
        <w:rPr>
          <w:rFonts w:cs="Calibri"/>
          <w:b w:val="false"/>
          <w:i w:val="false"/>
          <w:color w:val="D31145"/>
        </w:rPr>
        <w:t>[school]</w:t>
      </w:r>
      <w:r>
        <w:rPr>
          <w:rFonts w:cs="Calibri"/>
          <w:b w:val="false"/>
          <w:i w:val="false"/>
        </w:rPr>
        <w:t xml:space="preserve">  </w:t>
      </w:r>
      <w:r>
        <w:rPr>
          <w:rFonts w:cs="Calibri"/>
          <w:b/>
          <w:i w:val="false"/>
        </w:rPr>
        <w:t>Commandant:</w:t>
      </w:r>
      <w:r>
        <w:rPr>
          <w:rFonts w:cs="Calibri"/>
          <w:b w:val="false"/>
          <w:i w:val="false"/>
        </w:rPr>
        <w:t xml:space="preserve"> </w:t>
      </w:r>
      <w:r>
        <w:rPr>
          <w:rFonts w:cs="Calibri"/>
          <w:b w:val="false"/>
          <w:i w:val="false"/>
          <w:color w:val="D31145"/>
        </w:rPr>
        <w:t>[name]</w:t>
      </w:r>
      <w:r>
        <w:rPr>
          <w:rFonts w:cs="Calibri"/>
          <w:b w:val="false"/>
          <w:i w:val="false"/>
        </w:rPr>
        <w:t xml:space="preserve">  </w:t>
      </w:r>
      <w:r>
        <w:rPr>
          <w:rFonts w:cs="Calibri"/>
          <w:b/>
          <w:i w:val="false"/>
        </w:rPr>
        <w:t>Date:</w:t>
      </w:r>
      <w:r>
        <w:rPr>
          <w:rFonts w:cs="Calibri"/>
          <w:b w:val="false"/>
          <w:i w:val="false"/>
        </w:rPr>
        <w:t xml:space="preserve"> </w:t>
      </w:r>
      <w:r>
        <w:rPr>
          <w:rFonts w:cs="Calibri"/>
          <w:b w:val="false"/>
          <w:i w:val="false"/>
          <w:color w:val="D31145"/>
        </w:rPr>
        <w:t>[date]</w:t>
      </w:r>
    </w:p>
    <w:tbl>
      <w:tblPr>
        <w:tblW w:w="93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spacing w:before="60" w:after="60"/>
              <w:rPr/>
            </w:pPr>
            <w:r>
              <w:rPr>
                <w:rFonts w:cs="Calibri"/>
                <w:b/>
                <w:i w:val="false"/>
                <w:color w:val="FFFFFF"/>
                <w:sz w:val="17"/>
              </w:rPr>
              <w:t>Course</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spacing w:before="60" w:after="60"/>
              <w:rPr/>
            </w:pPr>
            <w:r>
              <w:rPr>
                <w:rFonts w:cs="Calibri"/>
                <w:b/>
                <w:i w:val="false"/>
                <w:color w:val="FFFFFF"/>
                <w:sz w:val="17"/>
              </w:rPr>
              <w:t>Progression stages covered</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spacing w:before="60" w:after="60"/>
              <w:rPr/>
            </w:pPr>
            <w:r>
              <w:rPr>
                <w:rFonts w:cs="Calibri"/>
                <w:b/>
                <w:i w:val="false"/>
                <w:color w:val="FFFFFF"/>
                <w:sz w:val="17"/>
              </w:rPr>
              <w:t>Risk, complexity and learner competence on entry</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spacing w:before="60" w:after="60"/>
              <w:rPr/>
            </w:pPr>
            <w:r>
              <w:rPr>
                <w:rFonts w:cs="Calibri"/>
                <w:b/>
                <w:i w:val="false"/>
                <w:color w:val="FFFFFF"/>
                <w:sz w:val="17"/>
              </w:rPr>
              <w:t>Required operational outcome</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spacing w:before="60" w:after="60"/>
              <w:rPr/>
            </w:pPr>
            <w:r>
              <w:rPr>
                <w:rFonts w:cs="Calibri"/>
                <w:b/>
                <w:i w:val="false"/>
                <w:color w:val="FFFFFF"/>
                <w:sz w:val="17"/>
              </w:rPr>
              <w:t>Change required, and support needed from ATG</w:t>
            </w:r>
          </w:p>
        </w:tc>
      </w:tr>
      <w:tr>
        <w:trPr>
          <w:trHeight w:val="900" w:hRule="atLeast"/>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r>
      <w:tr>
        <w:trPr>
          <w:trHeight w:val="900" w:hRule="atLeast"/>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r>
      <w:tr>
        <w:trPr>
          <w:trHeight w:val="900" w:hRule="atLeast"/>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r>
      <w:tr>
        <w:trPr>
          <w:trHeight w:val="900" w:hRule="atLeast"/>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r>
      <w:tr>
        <w:trPr>
          <w:trHeight w:val="900" w:hRule="atLeast"/>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10" w:top="1077" w:footer="51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Blac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Commander's Training Directive: Individual Training</w:t>
      <w:tab/>
      <w:t>Interim</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4</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4</w:t>
    </w:r>
    <w:r>
      <w:rPr>
        <w:sz w:val="17"/>
        <w:rFonts w:cs="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Commander's Training Directive: Individual Training</w:t>
      <w:tab/>
      <w:t>Interim</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4</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4</w:t>
    </w:r>
    <w:r>
      <w:rPr>
        <w:sz w:val="17"/>
        <w:rFonts w:cs="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Zen Hei" w:cs="Calibr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Calibri" w:hAnsi="Calibri" w:cs="Calibri" w:eastAsia="WenQuanYi Zen Hei"/>
      <w:color w:val="000000"/>
      <w:kern w:val="0"/>
      <w:sz w:val="20"/>
      <w:szCs w:val="22"/>
      <w:lang w:val="en-US" w:eastAsia="en-US" w:bidi="ar-SA"/>
    </w:rPr>
  </w:style>
  <w:style w:type="paragraph" w:styleId="Heading1">
    <w:name w:val="Heading 1"/>
    <w:basedOn w:val="Normal"/>
    <w:next w:val="Normal"/>
    <w:uiPriority w:val="9"/>
    <w:qFormat/>
    <w:rsid w:val="00fc693f"/>
    <w:pPr>
      <w:keepNext w:val="true"/>
      <w:keepLines/>
      <w:spacing w:before="220" w:after="100"/>
      <w:outlineLvl w:val="0"/>
    </w:pPr>
    <w:rPr>
      <w:rFonts w:ascii="Calibri" w:hAnsi="Calibri" w:cs="Calibri"/>
      <w:b w:val="false"/>
      <w:color w:val="000000"/>
      <w:sz w:val="23"/>
    </w:rPr>
  </w:style>
  <w:style w:type="paragraph" w:styleId="Heading2">
    <w:name w:val="Heading 2"/>
    <w:basedOn w:val="Normal"/>
    <w:next w:val="Normal"/>
    <w:uiPriority w:val="9"/>
    <w:unhideWhenUsed/>
    <w:qFormat/>
    <w:rsid w:val="00fc693f"/>
    <w:pPr>
      <w:keepNext w:val="true"/>
      <w:keepLines/>
      <w:spacing w:before="160" w:after="60"/>
      <w:outlineLvl w:val="1"/>
    </w:pPr>
    <w:rPr>
      <w:rFonts w:ascii="Calibri" w:hAnsi="Calibri" w:cs="Calibri"/>
      <w:b/>
      <w:color w:val="00261B"/>
      <w:sz w:val="2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991</Words>
  <Characters>5455</Characters>
  <CharactersWithSpaces>6379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Army Training Group</dc:creator>
  <dc:description>generated by python-docx</dc:description>
  <dc:language>en-US</dc:language>
  <cp:lastModifiedBy/>
  <dcterms:modified xsi:type="dcterms:W3CDTF">2026-09-01T23:46:29Z</dcterms:modified>
  <cp:revision>2</cp:revision>
  <dc:subject/>
  <dc:title>Commander's Training Directive</dc:title>
</cp:coreProperties>
</file>

<file path=docProps/custom.xml><?xml version="1.0" encoding="utf-8"?>
<Properties xmlns="http://schemas.openxmlformats.org/officeDocument/2006/custom-properties" xmlns:vt="http://schemas.openxmlformats.org/officeDocument/2006/docPropsVTypes"/>
</file>