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
        <w:rPr/>
      </w:pPr>
      <w:r>
        <w:rPr/>
        <w:drawing>
          <wp:inline distT="0" distB="0" distL="0" distR="0">
            <wp:extent cx="1296035" cy="2959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296035" cy="295910"/>
                    </a:xfrm>
                    <a:prstGeom prst="rect">
                      <a:avLst/>
                    </a:prstGeom>
                  </pic:spPr>
                </pic:pic>
              </a:graphicData>
            </a:graphic>
          </wp:inline>
        </w:drawing>
      </w:r>
    </w:p>
    <w:p>
      <w:pPr>
        <w:pStyle w:val="Normal"/>
        <w:spacing w:before="0" w:after="20"/>
        <w:rPr/>
      </w:pPr>
      <w:r>
        <w:rPr>
          <w:rFonts w:cs="Arial Black" w:ascii="Arial Black" w:hAnsi="Arial Black"/>
          <w:color w:val="000000"/>
          <w:sz w:val="34"/>
        </w:rPr>
        <w:t>The Army Approach to Individual Training</w:t>
      </w:r>
    </w:p>
    <w:p>
      <w:pPr>
        <w:pStyle w:val="Normal"/>
        <w:pBdr>
          <w:bottom w:val="single" w:sz="18" w:space="8" w:color="D31145"/>
        </w:pBdr>
        <w:spacing w:before="0" w:after="100"/>
        <w:rPr/>
      </w:pPr>
      <w:r>
        <w:rPr>
          <w:rFonts w:cs="Calibri"/>
          <w:b/>
          <w:color w:val="00261B"/>
          <w:sz w:val="22"/>
        </w:rPr>
        <w:t>Issued by Commander, Army Training Group</w:t>
      </w:r>
    </w:p>
    <w:p>
      <w:pPr>
        <w:pStyle w:val="Normal"/>
        <w:tabs>
          <w:tab w:val="clear" w:pos="720"/>
          <w:tab w:val="left" w:pos="1247" w:leader="none"/>
        </w:tabs>
        <w:spacing w:before="0" w:after="20"/>
        <w:ind w:hanging="1247" w:left="1247"/>
        <w:rPr/>
      </w:pPr>
      <w:r>
        <w:rPr>
          <w:rFonts w:cs="Calibri"/>
          <w:b/>
          <w:color w:val="00261B"/>
          <w:sz w:val="18"/>
        </w:rPr>
        <w:t>Reference</w:t>
        <w:tab/>
      </w:r>
      <w:r>
        <w:rPr>
          <w:rFonts w:cs="Calibri"/>
          <w:b w:val="false"/>
          <w:i w:val="false"/>
          <w:color w:val="D31145"/>
          <w:sz w:val="18"/>
        </w:rPr>
        <w:t>[ATG reference]</w:t>
      </w:r>
    </w:p>
    <w:p>
      <w:pPr>
        <w:pStyle w:val="Normal"/>
        <w:tabs>
          <w:tab w:val="clear" w:pos="720"/>
          <w:tab w:val="left" w:pos="1247" w:leader="none"/>
        </w:tabs>
        <w:spacing w:before="0" w:after="20"/>
        <w:ind w:hanging="1247" w:left="1247"/>
        <w:rPr/>
      </w:pPr>
      <w:r>
        <w:rPr>
          <w:rFonts w:cs="Calibri"/>
          <w:b/>
          <w:color w:val="00261B"/>
          <w:sz w:val="18"/>
        </w:rPr>
        <w:t>Version</w:t>
        <w:tab/>
      </w:r>
      <w:r>
        <w:rPr>
          <w:rFonts w:cs="Calibri"/>
          <w:b w:val="false"/>
          <w:i w:val="false"/>
          <w:sz w:val="18"/>
        </w:rPr>
        <w:t>1.0</w:t>
      </w:r>
    </w:p>
    <w:p>
      <w:pPr>
        <w:pStyle w:val="Normal"/>
        <w:tabs>
          <w:tab w:val="clear" w:pos="720"/>
          <w:tab w:val="left" w:pos="1247" w:leader="none"/>
        </w:tabs>
        <w:spacing w:before="0" w:after="20"/>
        <w:ind w:hanging="1247" w:left="1247"/>
        <w:rPr/>
      </w:pPr>
      <w:r>
        <w:rPr>
          <w:rFonts w:cs="Calibri"/>
          <w:b/>
          <w:color w:val="00261B"/>
          <w:sz w:val="18"/>
        </w:rPr>
        <w:t>Effective</w:t>
        <w:tab/>
      </w:r>
      <w:r>
        <w:rPr>
          <w:rFonts w:cs="Calibri"/>
          <w:b w:val="false"/>
          <w:i w:val="false"/>
          <w:color w:val="D31145"/>
          <w:sz w:val="18"/>
        </w:rPr>
        <w:t>[date]</w:t>
      </w:r>
    </w:p>
    <w:p>
      <w:pPr>
        <w:pStyle w:val="Normal"/>
        <w:tabs>
          <w:tab w:val="clear" w:pos="720"/>
          <w:tab w:val="left" w:pos="1247" w:leader="none"/>
        </w:tabs>
        <w:spacing w:before="0" w:after="20"/>
        <w:ind w:hanging="1247" w:left="1247"/>
        <w:rPr/>
      </w:pPr>
      <w:r>
        <w:rPr>
          <w:rFonts w:cs="Calibri"/>
          <w:b/>
          <w:color w:val="00261B"/>
          <w:sz w:val="18"/>
        </w:rPr>
        <w:t>Review</w:t>
        <w:tab/>
      </w:r>
      <w:r>
        <w:rPr>
          <w:rFonts w:cs="Calibri"/>
          <w:b w:val="false"/>
          <w:i w:val="false"/>
          <w:color w:val="D31145"/>
          <w:sz w:val="18"/>
        </w:rPr>
        <w:t>[date]</w:t>
      </w:r>
    </w:p>
    <w:p>
      <w:pPr>
        <w:pStyle w:val="Normal"/>
        <w:tabs>
          <w:tab w:val="clear" w:pos="720"/>
          <w:tab w:val="left" w:pos="1247" w:leader="none"/>
        </w:tabs>
        <w:spacing w:before="0" w:after="20"/>
        <w:ind w:hanging="1247" w:left="1247"/>
        <w:rPr/>
      </w:pPr>
      <w:r>
        <w:rPr>
          <w:rFonts w:cs="Calibri"/>
          <w:b/>
          <w:color w:val="00261B"/>
          <w:sz w:val="18"/>
        </w:rPr>
        <w:t>Applies to</w:t>
        <w:tab/>
      </w:r>
      <w:r>
        <w:rPr>
          <w:rFonts w:cs="Calibri"/>
          <w:b w:val="false"/>
          <w:i w:val="false"/>
          <w:sz w:val="18"/>
        </w:rPr>
        <w:t>All Army individual training</w:t>
      </w:r>
    </w:p>
    <w:p>
      <w:pPr>
        <w:pStyle w:val="Normal"/>
        <w:pBdr>
          <w:bottom w:val="single" w:sz="6" w:space="4" w:color="B3A650"/>
        </w:pBdr>
        <w:spacing w:before="80" w:after="0"/>
        <w:rPr/>
      </w:pPr>
      <w:r>
        <w:rPr/>
      </w:r>
    </w:p>
    <w:p>
      <w:pPr>
        <w:pStyle w:val="Heading1"/>
        <w:pBdr>
          <w:top w:val="single" w:sz="12" w:space="6" w:color="000000"/>
        </w:pBdr>
        <w:rPr/>
      </w:pPr>
      <w:r>
        <w:rPr>
          <w:rFonts w:cs="Arial Black" w:ascii="Arial Black" w:hAnsi="Arial Black"/>
          <w:b w:val="false"/>
          <w:i w:val="false"/>
          <w:color w:val="000000"/>
          <w:sz w:val="23"/>
        </w:rPr>
        <w:t>Purpose</w:t>
      </w:r>
    </w:p>
    <w:p>
      <w:pPr>
        <w:pStyle w:val="Normal"/>
        <w:tabs>
          <w:tab w:val="clear" w:pos="720"/>
          <w:tab w:val="left" w:pos="510" w:leader="none"/>
        </w:tabs>
        <w:spacing w:before="0" w:after="100"/>
        <w:ind w:hanging="510" w:left="510"/>
        <w:rPr/>
      </w:pPr>
      <w:r>
        <w:rPr>
          <w:rFonts w:cs="Calibri"/>
        </w:rPr>
        <w:t>1.</w:t>
        <w:tab/>
      </w:r>
      <w:r>
        <w:rPr>
          <w:rFonts w:cs="Calibri"/>
          <w:b w:val="false"/>
          <w:i w:val="false"/>
        </w:rPr>
        <w:t>This document states the Army approach to individual training. It applies to the design, delivery, review and assurance of all Army individual training, in every training school and unit that delivers it.</w:t>
      </w:r>
    </w:p>
    <w:p>
      <w:pPr>
        <w:pStyle w:val="Normal"/>
        <w:tabs>
          <w:tab w:val="clear" w:pos="720"/>
          <w:tab w:val="left" w:pos="510" w:leader="none"/>
        </w:tabs>
        <w:spacing w:before="0" w:after="100"/>
        <w:ind w:hanging="510" w:left="510"/>
        <w:rPr/>
      </w:pPr>
      <w:r>
        <w:rPr>
          <w:rFonts w:cs="Calibri"/>
        </w:rPr>
        <w:t>2.</w:t>
        <w:tab/>
      </w:r>
      <w:r>
        <w:rPr>
          <w:rFonts w:cs="Calibri"/>
          <w:b w:val="false"/>
          <w:i w:val="false"/>
        </w:rPr>
        <w:t>It does not change any training standard, and it does not mandate a method. It states how Army develops individuals, and how a school decides the balance of direction, practice, experience and learner agency appropriate to a given course. Where a school's practice already meets this approach, no change is required beyond being able to show it.</w:t>
      </w:r>
    </w:p>
    <w:p>
      <w:pPr>
        <w:pStyle w:val="Heading1"/>
        <w:pBdr>
          <w:top w:val="single" w:sz="12" w:space="6" w:color="000000"/>
        </w:pBdr>
        <w:rPr/>
      </w:pPr>
      <w:r>
        <w:rPr>
          <w:rFonts w:cs="Arial Black" w:ascii="Arial Black" w:hAnsi="Arial Black"/>
          <w:b w:val="false"/>
          <w:i w:val="false"/>
          <w:color w:val="000000"/>
          <w:sz w:val="23"/>
        </w:rPr>
        <w:t>The Approach</w:t>
      </w:r>
    </w:p>
    <w:p>
      <w:pPr>
        <w:pStyle w:val="Normal"/>
        <w:pBdr>
          <w:left w:val="single" w:sz="28" w:space="8" w:color="D31145"/>
        </w:pBdr>
        <w:shd w:val="clear" w:color="auto" w:fill="DFD8AD"/>
        <w:spacing w:before="80" w:after="120"/>
        <w:ind w:left="283" w:right="227"/>
        <w:rPr/>
      </w:pPr>
      <w:r>
        <w:rPr>
          <w:rFonts w:cs="Calibri"/>
          <w:b w:val="false"/>
          <w:i w:val="false"/>
          <w:color w:val="00261B"/>
          <w:sz w:val="20"/>
        </w:rPr>
        <w:t>Army develops individuals progressively and continuously toward operational competence, balancing direction, practice, experience and learner agency according to risk, complexity, competence and operational need.</w:t>
      </w:r>
      <w:r>
        <w:rPr>
          <w:rFonts w:cs="Calibri"/>
          <w:sz w:val="20"/>
        </w:rPr>
        <w:br/>
      </w:r>
      <w:r>
        <w:rPr>
          <w:rFonts w:cs="Calibri"/>
          <w:b w:val="false"/>
          <w:i w:val="false"/>
          <w:color w:val="00261B"/>
          <w:sz w:val="20"/>
        </w:rPr>
        <w:t>The standard is common; the journey to it need not be identical.</w:t>
      </w:r>
    </w:p>
    <w:p>
      <w:pPr>
        <w:pStyle w:val="Heading1"/>
        <w:pBdr>
          <w:top w:val="single" w:sz="12" w:space="6" w:color="000000"/>
        </w:pBdr>
        <w:rPr/>
      </w:pPr>
      <w:r>
        <w:rPr>
          <w:rFonts w:cs="Arial Black" w:ascii="Arial Black" w:hAnsi="Arial Black"/>
          <w:b w:val="false"/>
          <w:i w:val="false"/>
          <w:color w:val="000000"/>
          <w:sz w:val="23"/>
        </w:rPr>
        <w:t>The Model</w:t>
      </w:r>
    </w:p>
    <w:p>
      <w:pPr>
        <w:pStyle w:val="Heading2"/>
        <w:rPr/>
      </w:pPr>
      <w:r>
        <w:rPr>
          <w:rFonts w:cs="Calibri"/>
          <w:b/>
          <w:i w:val="false"/>
          <w:color w:val="00261B"/>
          <w:sz w:val="21"/>
        </w:rPr>
        <w:t>The progression.</w:t>
      </w:r>
    </w:p>
    <w:p>
      <w:pPr>
        <w:pStyle w:val="Normal"/>
        <w:rPr/>
      </w:pPr>
      <w:r>
        <w:rPr>
          <w:rFonts w:cs="Calibri"/>
          <w:b w:val="false"/>
          <w:i w:val="false"/>
        </w:rPr>
        <w:t>Courses are described against these five stages. Instructor direction decreases across them while learner autonomy, complexity and pressure increase.</w:t>
      </w:r>
    </w:p>
    <w:p>
      <w:pPr>
        <w:pStyle w:val="Normal"/>
        <w:shd w:val="clear" w:color="auto" w:fill="00261B"/>
        <w:spacing w:before="80" w:after="100"/>
        <w:jc w:val="center"/>
        <w:rPr/>
      </w:pPr>
      <w:r>
        <w:rPr>
          <w:rFonts w:cs="Calibri"/>
          <w:b/>
          <w:i w:val="false"/>
          <w:color w:val="FFFFFF"/>
          <w:sz w:val="18"/>
        </w:rPr>
        <w:t>Foundation → Guided Practice → Independent Practice → Applied / Experiential Learning → Performance Under Pressure</w:t>
      </w:r>
    </w:p>
    <w:p>
      <w:pPr>
        <w:pStyle w:val="Heading2"/>
        <w:rPr/>
      </w:pPr>
      <w:r>
        <w:rPr>
          <w:rFonts w:cs="Calibri"/>
          <w:b/>
          <w:i w:val="false"/>
          <w:color w:val="00261B"/>
          <w:sz w:val="21"/>
        </w:rPr>
        <w:t>The decision rule.</w:t>
      </w:r>
    </w:p>
    <w:p>
      <w:pPr>
        <w:pStyle w:val="Normal"/>
        <w:rPr/>
      </w:pPr>
      <w:r>
        <w:rPr>
          <w:rFonts w:cs="Calibri"/>
          <w:b w:val="false"/>
          <w:i w:val="false"/>
        </w:rPr>
        <w:t>Applied to every course. Schools applying it to different courses reach different answers; those answers are coherent because the reasoning is common.</w:t>
      </w:r>
    </w:p>
    <w:p>
      <w:pPr>
        <w:pStyle w:val="Normal"/>
        <w:shd w:val="clear" w:color="auto" w:fill="00261B"/>
        <w:spacing w:before="80" w:after="100"/>
        <w:jc w:val="center"/>
        <w:rPr/>
      </w:pPr>
      <w:r>
        <w:rPr>
          <w:rFonts w:cs="Calibri"/>
          <w:b/>
          <w:i w:val="false"/>
          <w:color w:val="FFFFFF"/>
          <w:sz w:val="18"/>
        </w:rPr>
        <w:t>Progression is shaped by risk, complexity, learner competence and the required operational outcome</w:t>
      </w:r>
    </w:p>
    <w:p>
      <w:pPr>
        <w:pStyle w:val="Heading2"/>
        <w:rPr/>
      </w:pPr>
      <w:r>
        <w:rPr>
          <w:rFonts w:cs="Calibri"/>
          <w:b/>
          <w:i w:val="false"/>
          <w:color w:val="00261B"/>
          <w:sz w:val="21"/>
        </w:rPr>
        <w:t>The continuous cycle.</w:t>
      </w:r>
    </w:p>
    <w:p>
      <w:pPr>
        <w:pStyle w:val="Normal"/>
        <w:rPr/>
      </w:pPr>
      <w:r>
        <w:rPr>
          <w:rFonts w:cs="Calibri"/>
          <w:b w:val="false"/>
          <w:i w:val="false"/>
        </w:rPr>
        <w:t>Individual training does not end with a course. Learning is accessible before, during and after formal training, and recurs across a career.</w:t>
      </w:r>
    </w:p>
    <w:p>
      <w:pPr>
        <w:pStyle w:val="Normal"/>
        <w:shd w:val="clear" w:color="auto" w:fill="00261B"/>
        <w:spacing w:before="80" w:after="100"/>
        <w:jc w:val="center"/>
        <w:rPr/>
      </w:pPr>
      <w:r>
        <w:rPr>
          <w:rFonts w:cs="Calibri"/>
          <w:b/>
          <w:i w:val="false"/>
          <w:color w:val="FFFFFF"/>
          <w:sz w:val="18"/>
        </w:rPr>
        <w:t>Prepare → Learn → Practise → Apply → Perform → Feedback → Reinforce / Adapt</w:t>
      </w:r>
    </w:p>
    <w:p>
      <w:pPr>
        <w:pStyle w:val="Heading1"/>
        <w:pBdr>
          <w:top w:val="single" w:sz="12" w:space="6" w:color="000000"/>
        </w:pBdr>
        <w:rPr/>
      </w:pPr>
      <w:r>
        <w:rPr>
          <w:rFonts w:cs="Arial Black" w:ascii="Arial Black" w:hAnsi="Arial Black"/>
          <w:b w:val="false"/>
          <w:i w:val="false"/>
          <w:color w:val="000000"/>
          <w:sz w:val="23"/>
        </w:rPr>
        <w:t>The Principles</w:t>
      </w:r>
    </w:p>
    <w:p>
      <w:pPr>
        <w:pStyle w:val="Normal"/>
        <w:tabs>
          <w:tab w:val="clear" w:pos="720"/>
          <w:tab w:val="left" w:pos="510" w:leader="none"/>
        </w:tabs>
        <w:spacing w:before="0" w:after="100"/>
        <w:ind w:hanging="510" w:left="510"/>
        <w:rPr/>
      </w:pPr>
      <w:r>
        <w:rPr>
          <w:rFonts w:cs="Calibri"/>
        </w:rPr>
        <w:t>3.</w:t>
        <w:tab/>
      </w:r>
      <w:r>
        <w:rPr>
          <w:rFonts w:cs="Calibri"/>
          <w:b/>
          <w:i w:val="false"/>
        </w:rPr>
        <w:t>Individual training exists to produce operational competence.</w:t>
      </w:r>
      <w:r>
        <w:rPr>
          <w:rFonts w:cs="Calibri"/>
          <w:b w:val="false"/>
          <w:i w:val="false"/>
        </w:rPr>
        <w:t xml:space="preserve"> Course completion is a means, not the end. Training succeeds when the individual performs to the required standard, in role and under operational conditions.</w:t>
      </w:r>
    </w:p>
    <w:p>
      <w:pPr>
        <w:pStyle w:val="Normal"/>
        <w:tabs>
          <w:tab w:val="clear" w:pos="720"/>
          <w:tab w:val="left" w:pos="510" w:leader="none"/>
        </w:tabs>
        <w:spacing w:before="0" w:after="100"/>
        <w:ind w:hanging="510" w:left="510"/>
        <w:rPr/>
      </w:pPr>
      <w:r>
        <w:rPr>
          <w:rFonts w:cs="Calibri"/>
        </w:rPr>
        <w:t>4.</w:t>
        <w:tab/>
      </w:r>
      <w:r>
        <w:rPr>
          <w:rFonts w:cs="Calibri"/>
          <w:b/>
          <w:i w:val="false"/>
        </w:rPr>
        <w:t>The standard is common; the learning journey need not be identical.</w:t>
      </w:r>
      <w:r>
        <w:rPr>
          <w:rFonts w:cs="Calibri"/>
          <w:b w:val="false"/>
          <w:i w:val="false"/>
        </w:rPr>
        <w:t xml:space="preserve"> Individuals arrive with different experience, competence and learning needs. Schools adapt the pathway without diluting the standard, and retain operational assurance in doing so.</w:t>
      </w:r>
    </w:p>
    <w:p>
      <w:pPr>
        <w:pStyle w:val="Normal"/>
        <w:tabs>
          <w:tab w:val="clear" w:pos="720"/>
          <w:tab w:val="left" w:pos="510" w:leader="none"/>
        </w:tabs>
        <w:spacing w:before="0" w:after="100"/>
        <w:ind w:hanging="510" w:left="510"/>
        <w:rPr/>
      </w:pPr>
      <w:r>
        <w:rPr>
          <w:rFonts w:cs="Calibri"/>
        </w:rPr>
        <w:t>5.</w:t>
        <w:tab/>
      </w:r>
      <w:r>
        <w:rPr>
          <w:rFonts w:cs="Calibri"/>
          <w:b/>
          <w:i w:val="false"/>
        </w:rPr>
        <w:t>Competence develops progressively through practice, experience and feedback.</w:t>
      </w:r>
      <w:r>
        <w:rPr>
          <w:rFonts w:cs="Calibri"/>
          <w:b w:val="false"/>
          <w:i w:val="false"/>
        </w:rPr>
        <w:t xml:space="preserve"> Training moves deliberately from foundation knowledge and guided practice toward independent application, judgement and performance under pressure.</w:t>
      </w:r>
    </w:p>
    <w:p>
      <w:pPr>
        <w:pStyle w:val="Normal"/>
        <w:tabs>
          <w:tab w:val="clear" w:pos="720"/>
          <w:tab w:val="left" w:pos="510" w:leader="none"/>
        </w:tabs>
        <w:spacing w:before="0" w:after="100"/>
        <w:ind w:hanging="510" w:left="510"/>
        <w:rPr/>
      </w:pPr>
      <w:r>
        <w:rPr>
          <w:rFonts w:cs="Calibri"/>
        </w:rPr>
        <w:t>6.</w:t>
        <w:tab/>
      </w:r>
      <w:r>
        <w:rPr>
          <w:rFonts w:cs="Calibri"/>
          <w:b/>
          <w:i w:val="false"/>
        </w:rPr>
        <w:t>The level of direction changes as competence grows.</w:t>
      </w:r>
      <w:r>
        <w:rPr>
          <w:rFonts w:cs="Calibri"/>
          <w:b w:val="false"/>
          <w:i w:val="false"/>
        </w:rPr>
        <w:t xml:space="preserve"> Foundational and high-risk training requires greater standardisation and instructor control. As competence develops, learner autonomy, complexity, experiential learning and reflection increase.</w:t>
      </w:r>
    </w:p>
    <w:p>
      <w:pPr>
        <w:pStyle w:val="Normal"/>
        <w:tabs>
          <w:tab w:val="clear" w:pos="720"/>
          <w:tab w:val="left" w:pos="510" w:leader="none"/>
        </w:tabs>
        <w:spacing w:before="0" w:after="100"/>
        <w:ind w:hanging="510" w:left="510"/>
        <w:rPr/>
      </w:pPr>
      <w:r>
        <w:rPr>
          <w:rFonts w:cs="Calibri"/>
        </w:rPr>
        <w:t>7.</w:t>
        <w:tab/>
      </w:r>
      <w:r>
        <w:rPr>
          <w:rFonts w:cs="Calibri"/>
          <w:b/>
          <w:i w:val="false"/>
        </w:rPr>
        <w:t>Individual training extends beyond the course.</w:t>
      </w:r>
      <w:r>
        <w:rPr>
          <w:rFonts w:cs="Calibri"/>
          <w:b w:val="false"/>
          <w:i w:val="false"/>
        </w:rPr>
        <w:t xml:space="preserve"> Formal instruction, digital and distributed learning, simulation, coaching, workplace experience, feedback and reinforcement are complementary parts of one continuous system. Learning is accessible before, during and after formal training.</w:t>
      </w:r>
    </w:p>
    <w:p>
      <w:pPr>
        <w:pStyle w:val="Normal"/>
        <w:tabs>
          <w:tab w:val="clear" w:pos="720"/>
          <w:tab w:val="left" w:pos="510" w:leader="none"/>
        </w:tabs>
        <w:spacing w:before="0" w:after="100"/>
        <w:ind w:hanging="510" w:left="510"/>
        <w:rPr/>
      </w:pPr>
      <w:r>
        <w:rPr>
          <w:rFonts w:cs="Calibri"/>
        </w:rPr>
        <w:t>8.</w:t>
        <w:tab/>
      </w:r>
      <w:r>
        <w:rPr>
          <w:rFonts w:cs="Calibri"/>
          <w:b/>
          <w:i w:val="false"/>
        </w:rPr>
        <w:t>The method is selected to achieve the outcome.</w:t>
      </w:r>
      <w:r>
        <w:rPr>
          <w:rFonts w:cs="Calibri"/>
          <w:b w:val="false"/>
          <w:i w:val="false"/>
        </w:rPr>
        <w:t xml:space="preserve"> Instructors, technology, learning frameworks, simulation, data and AI are enablers, not the approach itself. Their value depends on people being competent and practised in their use, on the judgement to check what they produce, and on improving practice, feedback, adaptation and evidence of performance. Human interaction remains essential to teamwork, judgement and trust, and no method replaces it.</w:t>
      </w:r>
    </w:p>
    <w:p>
      <w:pPr>
        <w:pStyle w:val="Heading1"/>
        <w:pBdr>
          <w:top w:val="single" w:sz="12" w:space="6" w:color="000000"/>
        </w:pBdr>
        <w:rPr/>
      </w:pPr>
      <w:r>
        <w:rPr>
          <w:rFonts w:cs="Arial Black" w:ascii="Arial Black" w:hAnsi="Arial Black"/>
          <w:b w:val="false"/>
          <w:i w:val="false"/>
          <w:color w:val="000000"/>
          <w:sz w:val="23"/>
        </w:rPr>
        <w:t>Application</w:t>
      </w:r>
    </w:p>
    <w:p>
      <w:pPr>
        <w:pStyle w:val="Normal"/>
        <w:tabs>
          <w:tab w:val="clear" w:pos="720"/>
          <w:tab w:val="left" w:pos="510" w:leader="none"/>
        </w:tabs>
        <w:spacing w:before="0" w:after="100"/>
        <w:ind w:hanging="510" w:left="510"/>
        <w:rPr/>
      </w:pPr>
      <w:r>
        <w:rPr>
          <w:rFonts w:cs="Calibri"/>
        </w:rPr>
        <w:t>9.</w:t>
        <w:tab/>
      </w:r>
      <w:r>
        <w:rPr>
          <w:rFonts w:cs="Calibri"/>
          <w:b w:val="false"/>
          <w:i w:val="false"/>
        </w:rPr>
        <w:t>Schools apply this approach to the design, delivery and review of individual training.</w:t>
      </w:r>
    </w:p>
    <w:p>
      <w:pPr>
        <w:pStyle w:val="Normal"/>
        <w:tabs>
          <w:tab w:val="clear" w:pos="720"/>
          <w:tab w:val="left" w:pos="510" w:leader="none"/>
        </w:tabs>
        <w:spacing w:before="0" w:after="100"/>
        <w:ind w:hanging="510" w:left="510"/>
        <w:rPr/>
      </w:pPr>
      <w:r>
        <w:rPr>
          <w:rFonts w:cs="Calibri"/>
        </w:rPr>
        <w:t>10.</w:t>
        <w:tab/>
      </w:r>
      <w:r>
        <w:rPr>
          <w:rFonts w:cs="Calibri"/>
          <w:b w:val="false"/>
          <w:i w:val="false"/>
        </w:rPr>
        <w:t>Every course is assessed against the decision rule. The assessment records the required operational outcome, the risk and complexity of the task, and the competence of the learner on entry.</w:t>
      </w:r>
    </w:p>
    <w:p>
      <w:pPr>
        <w:pStyle w:val="Normal"/>
        <w:tabs>
          <w:tab w:val="clear" w:pos="720"/>
          <w:tab w:val="left" w:pos="510" w:leader="none"/>
        </w:tabs>
        <w:spacing w:before="0" w:after="100"/>
        <w:ind w:hanging="510" w:left="510"/>
        <w:rPr/>
      </w:pPr>
      <w:r>
        <w:rPr>
          <w:rFonts w:cs="Calibri"/>
        </w:rPr>
        <w:t>11.</w:t>
        <w:tab/>
      </w:r>
      <w:r>
        <w:rPr>
          <w:rFonts w:cs="Calibri"/>
          <w:b w:val="false"/>
          <w:i w:val="false"/>
        </w:rPr>
        <w:t>Courses are described against the progression, and that language is used in course documentation and in instructor development.</w:t>
      </w:r>
    </w:p>
    <w:p>
      <w:pPr>
        <w:pStyle w:val="Normal"/>
        <w:tabs>
          <w:tab w:val="clear" w:pos="720"/>
          <w:tab w:val="left" w:pos="510" w:leader="none"/>
        </w:tabs>
        <w:spacing w:before="0" w:after="100"/>
        <w:ind w:hanging="510" w:left="510"/>
        <w:rPr/>
      </w:pPr>
      <w:r>
        <w:rPr>
          <w:rFonts w:cs="Calibri"/>
        </w:rPr>
        <w:t>12.</w:t>
        <w:tab/>
      </w:r>
      <w:r>
        <w:rPr>
          <w:rFonts w:cs="Calibri"/>
          <w:b w:val="false"/>
          <w:i w:val="false"/>
        </w:rPr>
        <w:t>Training design states the operational competence the course produces, not the content it covers.</w:t>
      </w:r>
    </w:p>
    <w:p>
      <w:pPr>
        <w:pStyle w:val="Normal"/>
        <w:tabs>
          <w:tab w:val="clear" w:pos="720"/>
          <w:tab w:val="left" w:pos="510" w:leader="none"/>
        </w:tabs>
        <w:spacing w:before="0" w:after="100"/>
        <w:ind w:hanging="510" w:left="510"/>
        <w:rPr/>
      </w:pPr>
      <w:r>
        <w:rPr>
          <w:rFonts w:cs="Calibri"/>
        </w:rPr>
        <w:t>13.</w:t>
        <w:tab/>
      </w:r>
      <w:r>
        <w:rPr>
          <w:rFonts w:cs="Calibri"/>
          <w:b w:val="false"/>
          <w:i w:val="false"/>
        </w:rPr>
        <w:t>What is required of the individual before and after the course is part of the design.</w:t>
      </w:r>
    </w:p>
    <w:p>
      <w:pPr>
        <w:pStyle w:val="Normal"/>
        <w:tabs>
          <w:tab w:val="clear" w:pos="720"/>
          <w:tab w:val="left" w:pos="510" w:leader="none"/>
        </w:tabs>
        <w:spacing w:before="0" w:after="100"/>
        <w:ind w:hanging="510" w:left="510"/>
        <w:rPr/>
      </w:pPr>
      <w:r>
        <w:rPr>
          <w:rFonts w:cs="Calibri"/>
        </w:rPr>
        <w:t>14.</w:t>
        <w:tab/>
      </w:r>
      <w:r>
        <w:rPr>
          <w:rFonts w:cs="Calibri"/>
          <w:b w:val="false"/>
          <w:i w:val="false"/>
        </w:rPr>
        <w:t>Where a school adapts a pathway, it records what was adapted, why, and how the standard was assured.</w:t>
      </w:r>
    </w:p>
    <w:p>
      <w:pPr>
        <w:pStyle w:val="Heading1"/>
        <w:pBdr>
          <w:top w:val="single" w:sz="12" w:space="6" w:color="000000"/>
        </w:pBdr>
        <w:rPr/>
      </w:pPr>
      <w:r>
        <w:rPr>
          <w:rFonts w:cs="Arial Black" w:ascii="Arial Black" w:hAnsi="Arial Black"/>
          <w:b w:val="false"/>
          <w:i w:val="false"/>
          <w:color w:val="000000"/>
          <w:sz w:val="23"/>
        </w:rPr>
        <w:t>Assurance</w:t>
      </w:r>
    </w:p>
    <w:p>
      <w:pPr>
        <w:pStyle w:val="Normal"/>
        <w:tabs>
          <w:tab w:val="clear" w:pos="720"/>
          <w:tab w:val="left" w:pos="510" w:leader="none"/>
        </w:tabs>
        <w:spacing w:before="0" w:after="100"/>
        <w:ind w:hanging="510" w:left="510"/>
        <w:rPr/>
      </w:pPr>
      <w:r>
        <w:rPr>
          <w:rFonts w:cs="Calibri"/>
        </w:rPr>
        <w:t>15.</w:t>
        <w:tab/>
      </w:r>
      <w:r>
        <w:rPr>
          <w:rFonts w:cs="Calibri"/>
          <w:b w:val="false"/>
          <w:i w:val="false"/>
        </w:rPr>
        <w:t>Commandants retain operational assurance for the standard achieved. Adapting a pathway does not transfer that responsibility.</w:t>
      </w:r>
    </w:p>
    <w:p>
      <w:pPr>
        <w:pStyle w:val="Normal"/>
        <w:tabs>
          <w:tab w:val="clear" w:pos="720"/>
          <w:tab w:val="left" w:pos="510" w:leader="none"/>
        </w:tabs>
        <w:spacing w:before="0" w:after="100"/>
        <w:ind w:hanging="510" w:left="510"/>
        <w:rPr/>
      </w:pPr>
      <w:r>
        <w:rPr>
          <w:rFonts w:cs="Calibri"/>
        </w:rPr>
        <w:t>16.</w:t>
        <w:tab/>
      </w:r>
      <w:r>
        <w:rPr>
          <w:rFonts w:cs="Calibri"/>
          <w:b w:val="false"/>
          <w:i w:val="false"/>
        </w:rPr>
        <w:t>A school is to be able to show, for any course: the required operational outcome; the assessment against the decision rule; and the evidence that the standard was met.</w:t>
      </w:r>
    </w:p>
    <w:p>
      <w:pPr>
        <w:pStyle w:val="Normal"/>
        <w:tabs>
          <w:tab w:val="clear" w:pos="720"/>
          <w:tab w:val="left" w:pos="510" w:leader="none"/>
        </w:tabs>
        <w:spacing w:before="0" w:after="100"/>
        <w:ind w:hanging="510" w:left="510"/>
        <w:rPr/>
      </w:pPr>
      <w:r>
        <w:rPr>
          <w:rFonts w:cs="Calibri"/>
        </w:rPr>
        <w:t>17.</w:t>
        <w:tab/>
      </w:r>
      <w:r>
        <w:rPr>
          <w:rFonts w:cs="Calibri"/>
          <w:b w:val="false"/>
          <w:i w:val="false"/>
        </w:rPr>
        <w:t xml:space="preserve">Where a school assesses that the required outcome cannot be achieved within current resources, it reports that to </w:t>
      </w:r>
      <w:r>
        <w:rPr>
          <w:rFonts w:cs="Calibri"/>
          <w:b w:val="false"/>
          <w:i w:val="false"/>
          <w:color w:val="D31145"/>
        </w:rPr>
        <w:t>[ATG]</w:t>
      </w:r>
      <w:r>
        <w:rPr>
          <w:rFonts w:cs="Calibri"/>
          <w:b w:val="false"/>
          <w:i w:val="false"/>
        </w:rPr>
        <w:t xml:space="preserve"> rather than adjusting the standard.</w:t>
      </w:r>
    </w:p>
    <w:p>
      <w:pPr>
        <w:pStyle w:val="Heading1"/>
        <w:pBdr>
          <w:top w:val="single" w:sz="12" w:space="6" w:color="000000"/>
        </w:pBdr>
        <w:rPr/>
      </w:pPr>
      <w:r>
        <w:rPr>
          <w:rFonts w:cs="Arial Black" w:ascii="Arial Black" w:hAnsi="Arial Black"/>
          <w:b w:val="false"/>
          <w:i w:val="false"/>
          <w:color w:val="000000"/>
          <w:sz w:val="23"/>
        </w:rPr>
        <w:t>Review and Amendment</w:t>
      </w:r>
    </w:p>
    <w:p>
      <w:pPr>
        <w:pStyle w:val="Normal"/>
        <w:tabs>
          <w:tab w:val="clear" w:pos="720"/>
          <w:tab w:val="left" w:pos="510" w:leader="none"/>
        </w:tabs>
        <w:spacing w:before="0" w:after="100"/>
        <w:ind w:hanging="510" w:left="510"/>
        <w:rPr/>
      </w:pPr>
      <w:r>
        <w:rPr>
          <w:rFonts w:cs="Calibri"/>
        </w:rPr>
        <w:t>18.</w:t>
        <w:tab/>
      </w:r>
      <w:r>
        <w:rPr>
          <w:rFonts w:cs="Calibri"/>
          <w:b w:val="false"/>
          <w:i w:val="false"/>
        </w:rPr>
        <w:t xml:space="preserve">This document is reviewed by </w:t>
      </w:r>
      <w:r>
        <w:rPr>
          <w:rFonts w:cs="Calibri"/>
          <w:b w:val="false"/>
          <w:i w:val="false"/>
          <w:color w:val="D31145"/>
        </w:rPr>
        <w:t>[date]</w:t>
      </w:r>
      <w:r>
        <w:rPr>
          <w:rFonts w:cs="Calibri"/>
          <w:b w:val="false"/>
          <w:i w:val="false"/>
        </w:rPr>
        <w:t xml:space="preserve">, and thereafter </w:t>
      </w:r>
      <w:r>
        <w:rPr>
          <w:rFonts w:cs="Calibri"/>
          <w:b w:val="false"/>
          <w:i w:val="false"/>
          <w:color w:val="D31145"/>
        </w:rPr>
        <w:t>[annually]</w:t>
      </w:r>
      <w:r>
        <w:rPr>
          <w:rFonts w:cs="Calibri"/>
          <w:b w:val="false"/>
          <w:i w:val="false"/>
        </w:rPr>
        <w:t>, or earlier where operational requirement or training policy changes.</w:t>
      </w:r>
    </w:p>
    <w:p>
      <w:pPr>
        <w:pStyle w:val="Normal"/>
        <w:tabs>
          <w:tab w:val="clear" w:pos="720"/>
          <w:tab w:val="left" w:pos="510" w:leader="none"/>
        </w:tabs>
        <w:spacing w:before="0" w:after="100"/>
        <w:ind w:hanging="510" w:left="510"/>
        <w:rPr/>
      </w:pPr>
      <w:r>
        <w:rPr>
          <w:rFonts w:cs="Calibri"/>
        </w:rPr>
        <w:t>19.</w:t>
        <w:tab/>
      </w:r>
      <w:r>
        <w:rPr>
          <w:rFonts w:cs="Calibri"/>
          <w:b w:val="false"/>
          <w:i w:val="false"/>
        </w:rPr>
        <w:t xml:space="preserve">Amendment is by </w:t>
      </w:r>
      <w:r>
        <w:rPr>
          <w:rFonts w:cs="Calibri"/>
          <w:b w:val="false"/>
          <w:i w:val="false"/>
          <w:color w:val="D31145"/>
        </w:rPr>
        <w:t>[ATG appointment]</w:t>
      </w:r>
      <w:r>
        <w:rPr>
          <w:rFonts w:cs="Calibri"/>
          <w:b w:val="false"/>
          <w:i w:val="false"/>
        </w:rPr>
        <w:t xml:space="preserve"> on the authority of Commander, Army Training Group. The evidence base for this approach is at </w:t>
      </w:r>
      <w:r>
        <w:rPr>
          <w:rFonts w:cs="Calibri"/>
          <w:b w:val="false"/>
          <w:i w:val="false"/>
          <w:color w:val="D31145"/>
        </w:rPr>
        <w:t>[reference]</w:t>
      </w:r>
      <w:r>
        <w:rPr>
          <w:rFonts w:cs="Calibri"/>
          <w:b w:val="false"/>
          <w:i w:val="false"/>
        </w:rPr>
        <w:t>, and continues to develop; amendment is deliberate, and this document does not change with it automatically.</w:t>
      </w:r>
    </w:p>
    <w:p>
      <w:pPr>
        <w:pStyle w:val="Normal"/>
        <w:spacing w:before="320" w:after="0"/>
        <w:rPr/>
      </w:pPr>
      <w:r>
        <w:rPr/>
      </w:r>
    </w:p>
    <w:p>
      <w:pPr>
        <w:pStyle w:val="Normal"/>
        <w:pBdr>
          <w:top w:val="single" w:sz="8" w:space="2" w:color="000000"/>
        </w:pBdr>
        <w:spacing w:before="0" w:after="60"/>
        <w:ind w:left="5329"/>
        <w:rPr/>
      </w:pPr>
      <w:r>
        <w:rPr/>
      </w:r>
    </w:p>
    <w:p>
      <w:pPr>
        <w:pStyle w:val="Normal"/>
        <w:spacing w:before="0" w:after="0"/>
        <w:ind w:left="5329"/>
        <w:rPr/>
      </w:pPr>
      <w:r>
        <w:rPr>
          <w:rFonts w:cs="Calibri"/>
          <w:b w:val="false"/>
          <w:i w:val="false"/>
          <w:color w:val="D31145"/>
          <w:sz w:val="20"/>
        </w:rPr>
        <w:t>[Name]</w:t>
      </w:r>
    </w:p>
    <w:p>
      <w:pPr>
        <w:pStyle w:val="Normal"/>
        <w:spacing w:before="0" w:after="0"/>
        <w:ind w:left="5329"/>
        <w:rPr/>
      </w:pPr>
      <w:r>
        <w:rPr>
          <w:rFonts w:cs="Calibri"/>
          <w:b w:val="false"/>
          <w:i w:val="false"/>
          <w:color w:val="D31145"/>
          <w:sz w:val="20"/>
        </w:rPr>
        <w:t>[Rank]</w:t>
      </w:r>
    </w:p>
    <w:p>
      <w:pPr>
        <w:pStyle w:val="Normal"/>
        <w:spacing w:before="0" w:after="0"/>
        <w:ind w:left="5329"/>
        <w:rPr/>
      </w:pPr>
      <w:r>
        <w:rPr>
          <w:rFonts w:cs="Calibri"/>
          <w:b w:val="false"/>
          <w:i w:val="false"/>
          <w:sz w:val="20"/>
        </w:rPr>
        <w:t>Commander, Army Training Group</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10" w:top="1077" w:footer="510"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Black">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Calibri"/>
        <w:b/>
        <w:color w:val="000000"/>
        <w:sz w:val="20"/>
      </w:rPr>
      <w:t>UNCLASSIFIED</w:t>
    </w:r>
  </w:p>
  <w:p>
    <w:pPr>
      <w:pStyle w:val="Normal"/>
      <w:tabs>
        <w:tab w:val="clear" w:pos="720"/>
        <w:tab w:val="center" w:pos="4649" w:leader="none"/>
        <w:tab w:val="right" w:pos="9298" w:leader="none"/>
      </w:tabs>
      <w:spacing w:before="40" w:after="0"/>
      <w:rPr/>
    </w:pPr>
    <w:r>
      <w:rPr>
        <w:rFonts w:cs="Calibri"/>
        <w:color w:val="000000"/>
        <w:sz w:val="17"/>
      </w:rPr>
      <w:t>The Army Approach to Individual Training</w:t>
      <w:tab/>
      <w:t>Version 1.0</w:t>
      <w:tab/>
      <w:t xml:space="preserve">Page </w:t>
    </w:r>
    <w:r>
      <w:rPr>
        <w:rFonts w:cs="Calibri"/>
        <w:sz w:val="17"/>
      </w:rPr>
      <w:fldChar w:fldCharType="begin"/>
    </w:r>
    <w:r>
      <w:rPr>
        <w:sz w:val="17"/>
        <w:rFonts w:cs="Calibri"/>
      </w:rPr>
      <w:instrText xml:space="preserve"> PAGE </w:instrText>
    </w:r>
    <w:r>
      <w:rPr>
        <w:sz w:val="17"/>
        <w:rFonts w:cs="Calibri"/>
      </w:rPr>
      <w:fldChar w:fldCharType="separate"/>
    </w:r>
    <w:r>
      <w:rPr>
        <w:sz w:val="17"/>
        <w:rFonts w:cs="Calibri"/>
      </w:rPr>
      <w:t>2</w:t>
    </w:r>
    <w:r>
      <w:rPr>
        <w:sz w:val="17"/>
        <w:rFonts w:cs="Calibri"/>
      </w:rPr>
      <w:fldChar w:fldCharType="end"/>
    </w:r>
    <w:r>
      <w:rPr>
        <w:rFonts w:cs="Calibri"/>
        <w:color w:val="000000"/>
        <w:sz w:val="17"/>
      </w:rPr>
      <w:t xml:space="preserve"> of </w:t>
    </w:r>
    <w:r>
      <w:rPr>
        <w:rFonts w:cs="Calibri"/>
        <w:sz w:val="17"/>
      </w:rPr>
      <w:fldChar w:fldCharType="begin"/>
    </w:r>
    <w:r>
      <w:rPr>
        <w:sz w:val="17"/>
        <w:rFonts w:cs="Calibri"/>
      </w:rPr>
      <w:instrText xml:space="preserve"> NUMPAGES </w:instrText>
    </w:r>
    <w:r>
      <w:rPr>
        <w:sz w:val="17"/>
        <w:rFonts w:cs="Calibri"/>
      </w:rPr>
      <w:fldChar w:fldCharType="separate"/>
    </w:r>
    <w:r>
      <w:rPr>
        <w:sz w:val="17"/>
        <w:rFonts w:cs="Calibri"/>
      </w:rPr>
      <w:t>2</w:t>
    </w:r>
    <w:r>
      <w:rPr>
        <w:sz w:val="17"/>
        <w:rFonts w:cs="Calibr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Calibri"/>
        <w:b/>
        <w:color w:val="000000"/>
        <w:sz w:val="20"/>
      </w:rPr>
      <w:t>UNCLASSIFIED</w:t>
    </w:r>
  </w:p>
  <w:p>
    <w:pPr>
      <w:pStyle w:val="Normal"/>
      <w:tabs>
        <w:tab w:val="clear" w:pos="720"/>
        <w:tab w:val="center" w:pos="4649" w:leader="none"/>
        <w:tab w:val="right" w:pos="9298" w:leader="none"/>
      </w:tabs>
      <w:spacing w:before="40" w:after="0"/>
      <w:rPr/>
    </w:pPr>
    <w:r>
      <w:rPr>
        <w:rFonts w:cs="Calibri"/>
        <w:color w:val="000000"/>
        <w:sz w:val="17"/>
      </w:rPr>
      <w:t>The Army Approach to Individual Training</w:t>
      <w:tab/>
      <w:t>Version 1.0</w:t>
      <w:tab/>
      <w:t xml:space="preserve">Page </w:t>
    </w:r>
    <w:r>
      <w:rPr>
        <w:rFonts w:cs="Calibri"/>
        <w:sz w:val="17"/>
      </w:rPr>
      <w:fldChar w:fldCharType="begin"/>
    </w:r>
    <w:r>
      <w:rPr>
        <w:sz w:val="17"/>
        <w:rFonts w:cs="Calibri"/>
      </w:rPr>
      <w:instrText xml:space="preserve"> PAGE </w:instrText>
    </w:r>
    <w:r>
      <w:rPr>
        <w:sz w:val="17"/>
        <w:rFonts w:cs="Calibri"/>
      </w:rPr>
      <w:fldChar w:fldCharType="separate"/>
    </w:r>
    <w:r>
      <w:rPr>
        <w:sz w:val="17"/>
        <w:rFonts w:cs="Calibri"/>
      </w:rPr>
      <w:t>2</w:t>
    </w:r>
    <w:r>
      <w:rPr>
        <w:sz w:val="17"/>
        <w:rFonts w:cs="Calibri"/>
      </w:rPr>
      <w:fldChar w:fldCharType="end"/>
    </w:r>
    <w:r>
      <w:rPr>
        <w:rFonts w:cs="Calibri"/>
        <w:color w:val="000000"/>
        <w:sz w:val="17"/>
      </w:rPr>
      <w:t xml:space="preserve"> of </w:t>
    </w:r>
    <w:r>
      <w:rPr>
        <w:rFonts w:cs="Calibri"/>
        <w:sz w:val="17"/>
      </w:rPr>
      <w:fldChar w:fldCharType="begin"/>
    </w:r>
    <w:r>
      <w:rPr>
        <w:sz w:val="17"/>
        <w:rFonts w:cs="Calibri"/>
      </w:rPr>
      <w:instrText xml:space="preserve"> NUMPAGES </w:instrText>
    </w:r>
    <w:r>
      <w:rPr>
        <w:sz w:val="17"/>
        <w:rFonts w:cs="Calibri"/>
      </w:rPr>
      <w:fldChar w:fldCharType="separate"/>
    </w:r>
    <w:r>
      <w:rPr>
        <w:sz w:val="17"/>
        <w:rFonts w:cs="Calibri"/>
      </w:rPr>
      <w:t>2</w:t>
    </w:r>
    <w:r>
      <w:rPr>
        <w:sz w:val="17"/>
        <w:rFonts w:cs="Calibr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Calibri"/>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Calibri"/>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WenQuanYi Zen Hei" w:cs="Calibr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Calibri" w:hAnsi="Calibri" w:cs="Calibri" w:eastAsia="WenQuanYi Zen Hei"/>
      <w:color w:val="000000"/>
      <w:kern w:val="0"/>
      <w:sz w:val="20"/>
      <w:szCs w:val="22"/>
      <w:lang w:val="en-US" w:eastAsia="en-US" w:bidi="ar-SA"/>
    </w:rPr>
  </w:style>
  <w:style w:type="paragraph" w:styleId="Heading1">
    <w:name w:val="Heading 1"/>
    <w:basedOn w:val="Normal"/>
    <w:next w:val="Normal"/>
    <w:uiPriority w:val="9"/>
    <w:qFormat/>
    <w:rsid w:val="00fc693f"/>
    <w:pPr>
      <w:keepNext w:val="true"/>
      <w:keepLines/>
      <w:spacing w:before="220" w:after="100"/>
      <w:outlineLvl w:val="0"/>
    </w:pPr>
    <w:rPr>
      <w:rFonts w:ascii="Calibri" w:hAnsi="Calibri" w:cs="Calibri"/>
      <w:b w:val="false"/>
      <w:color w:val="000000"/>
      <w:sz w:val="23"/>
    </w:rPr>
  </w:style>
  <w:style w:type="paragraph" w:styleId="Heading2">
    <w:name w:val="Heading 2"/>
    <w:basedOn w:val="Normal"/>
    <w:next w:val="Normal"/>
    <w:uiPriority w:val="9"/>
    <w:unhideWhenUsed/>
    <w:qFormat/>
    <w:rsid w:val="00fc693f"/>
    <w:pPr>
      <w:keepNext w:val="true"/>
      <w:keepLines/>
      <w:spacing w:before="160" w:after="60"/>
      <w:outlineLvl w:val="1"/>
    </w:pPr>
    <w:rPr>
      <w:rFonts w:ascii="Calibri" w:hAnsi="Calibri" w:cs="Calibri"/>
      <w:b/>
      <w:color w:val="00261B"/>
      <w:sz w:val="21"/>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Pages>
  <Words>773</Words>
  <Characters>4526</Characters>
  <CharactersWithSpaces>5250</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Army Training Group</dc:creator>
  <dc:description>generated by python-docx</dc:description>
  <dc:language>en-US</dc:language>
  <cp:lastModifiedBy/>
  <dcterms:modified xsi:type="dcterms:W3CDTF">2026-09-02T07:39:21Z</dcterms:modified>
  <cp:revision>2</cp:revision>
  <dc:subject/>
  <dc:title>The Army Approach to Individual Training</dc:title>
</cp:coreProperties>
</file>

<file path=docProps/custom.xml><?xml version="1.0" encoding="utf-8"?>
<Properties xmlns="http://schemas.openxmlformats.org/officeDocument/2006/custom-properties" xmlns:vt="http://schemas.openxmlformats.org/officeDocument/2006/docPropsVTypes"/>
</file>