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624487905">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624487905">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624487905">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624487905">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394_2624487905">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624487905">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624487905">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624487905">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624487905">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624487905">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624487905"/>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88_2624487905"/>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conducts bounded pilots;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624487905"/>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624487905"/>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624487905"/>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(a single organising framework beneath which existing products are nested and assured) is consistent with that direction.</w:t>
      </w:r>
    </w:p>
    <w:p>
      <w:pPr>
        <w:pStyle w:val="Normal"/>
        <w:rPr/>
      </w:pPr>
      <w:r>
        <w:rPr>
          <w:rFonts w:cs="Book Antiqua"/>
          <w:b w:val="false"/>
          <w:i w:val="false"/>
        </w:rPr>
        <w:t>A full assessment of existing capability and products will be completed during Phase 2.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624487905"/>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1: Define and govern (on endorsement of this paper; target mid-August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(August–September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NZDF Psychology,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(September–October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(October 2026) (ACS convenes) [proposed – confirm]</w:t>
      </w:r>
    </w:p>
    <w:p>
      <w:pPr>
        <w:pStyle w:val="Normal"/>
        <w:rPr/>
      </w:pPr>
      <w:r>
        <w:rPr>
          <w:rFonts w:cs="Book Antiqua"/>
          <w:b w:val="false"/>
          <w:i w:val="false"/>
        </w:rPr>
        <w:t>Refine the framework with key stakeholders and conduct bounded pilots: 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5: Implement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624487905"/>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624487905"/>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Performance Under Pressure package, COGCON and NZDF Psychology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624487905"/>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2 assessment.</w:t>
      </w:r>
    </w:p>
    <w:p>
      <w:pPr>
        <w:pStyle w:val="Heading1"/>
        <w:pBdr>
          <w:left w:val="single" w:sz="24" w:space="8" w:color="C62026"/>
        </w:pBdr>
        <w:rPr/>
      </w:pPr>
      <w:bookmarkStart w:id="9" w:name="__RefHeading___Toc404_2624487905"/>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2583</Words>
  <Characters>16790</Characters>
  <CharactersWithSpaces>19207</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2026-08-05T02:40:58Z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