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8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spacing w:before="0" w:after="20"/>
        <w:rPr/>
      </w:pPr>
      <w:r>
        <w:rPr>
          <w:rFonts w:cs="Arial"/>
          <w:b/>
          <w:color w:val="000000"/>
          <w:sz w:val="40"/>
        </w:rPr>
        <w:t>A18009 ELDA Command</w:t>
      </w:r>
    </w:p>
    <w:p>
      <w:pPr>
        <w:pStyle w:val="Normal"/>
        <w:pBdr>
          <w:bottom w:val="single" w:sz="18" w:space="8" w:color="C62026"/>
        </w:pBdr>
        <w:spacing w:before="0" w:after="80"/>
        <w:rPr/>
      </w:pPr>
      <w:r>
        <w:rPr>
          <w:rFonts w:cs="Arial"/>
          <w:b/>
          <w:color w:val="002516"/>
          <w:sz w:val="24"/>
        </w:rPr>
        <w:t>Course Data Sheet</w:t>
      </w:r>
    </w:p>
    <w:p>
      <w:pPr>
        <w:pStyle w:val="Normal"/>
        <w:spacing w:before="120" w:after="120"/>
        <w:rPr/>
      </w:pPr>
      <w:r>
        <w:rPr>
          <w:rFonts w:cs="Arial"/>
          <w:color w:val="002516"/>
          <w:sz w:val="21"/>
        </w:rPr>
        <w:t>NZ Army Leadership Centre | Army Command School</w:t>
      </w:r>
    </w:p>
    <w:p>
      <w:pPr>
        <w:pStyle w:val="Normal"/>
        <w:pBdr>
          <w:bottom w:val="single" w:sz="6" w:space="6" w:color="A89662"/>
        </w:pBdr>
        <w:spacing w:before="0" w:after="200"/>
        <w:rPr/>
      </w:pPr>
      <w:r>
        <w:rPr>
          <w:rFonts w:cs="Arial"/>
          <w:b/>
          <w:color w:val="002516"/>
          <w:sz w:val="18"/>
        </w:rPr>
        <w:t xml:space="preserve">Reference  </w:t>
      </w:r>
      <w:r>
        <w:rPr>
          <w:rFonts w:cs="Arial"/>
          <w:color w:val="000000"/>
          <w:sz w:val="18"/>
        </w:rPr>
        <w:t>SOLO Course Data Sheet A18009, AL 2.5</w:t>
      </w:r>
      <w:r>
        <w:rPr>
          <w:rFonts w:cs="Arial"/>
        </w:rPr>
        <w:t xml:space="preserve">      </w:t>
      </w:r>
      <w:r>
        <w:rPr>
          <w:rFonts w:cs="Arial"/>
          <w:b/>
          <w:color w:val="002516"/>
          <w:sz w:val="18"/>
        </w:rPr>
        <w:t xml:space="preserve">Date  </w:t>
      </w:r>
      <w:r>
        <w:rPr>
          <w:rFonts w:cs="Arial"/>
          <w:color w:val="000000"/>
          <w:sz w:val="18"/>
        </w:rPr>
        <w:t>September 2026</w:t>
      </w:r>
    </w:p>
    <w:p>
      <w:pPr>
        <w:pStyle w:val="Heading1"/>
        <w:rPr/>
      </w:pPr>
      <w:r>
        <w:rPr>
          <w:rFonts w:cs="Arial"/>
          <w:b/>
          <w:i w:val="false"/>
          <w:color w:val="002516"/>
          <w:sz w:val="24"/>
        </w:rPr>
        <w:t>Course Information</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ID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A18009</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Name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ELDA Command</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Service</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Army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Primary 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Duration</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8–10 Training Days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Delivery Method</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Face-to-Face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Course Aim</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The aim of ELDA Command is to develop command effectiveness by enhancing self-awareness, judgement and deliberate leadership behaviour, enabling learners to create the conditions for effective team and organisational performance in complex and demanding environments.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Qualifications / Certifications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Retain the existing DLMS qualifications/certifications, subject to confirmation that these accurately represent the qualification or certification awarded:</w:t>
            </w:r>
            <w:r>
              <w:rPr/>
              <w:br/>
            </w:r>
            <w:r>
              <w:rPr>
                <w:rFonts w:cs="Arial"/>
                <w:b w:val="false"/>
                <w:i w:val="false"/>
                <w:sz w:val="20"/>
              </w:rPr>
              <w:t>• AA18001 ELDA Alpine Touring</w:t>
            </w:r>
            <w:r>
              <w:rPr/>
              <w:br/>
            </w:r>
            <w:r>
              <w:rPr>
                <w:rFonts w:cs="Arial"/>
                <w:b w:val="false"/>
                <w:i w:val="false"/>
                <w:sz w:val="20"/>
              </w:rPr>
              <w:t>• AA18002 ELDA Rock Climbing</w:t>
            </w:r>
            <w:r>
              <w:rPr/>
              <w:br/>
            </w:r>
            <w:r>
              <w:rPr>
                <w:rFonts w:cs="Arial"/>
                <w:b w:val="false"/>
                <w:i w:val="false"/>
                <w:sz w:val="20"/>
              </w:rPr>
              <w:t>• AA18003 ELDA Sea Kayaking</w:t>
            </w:r>
            <w:r>
              <w:rPr/>
              <w:br/>
            </w:r>
            <w:r>
              <w:rPr>
                <w:rFonts w:cs="Arial"/>
                <w:b w:val="false"/>
                <w:i w:val="false"/>
                <w:sz w:val="20"/>
              </w:rPr>
              <w:t>• AA18004 ELDA White Water Kayaking</w:t>
            </w:r>
            <w:r>
              <w:rPr/>
              <w:br/>
            </w:r>
            <w:r>
              <w:rPr>
                <w:rFonts w:cs="Arial"/>
                <w:b w:val="false"/>
                <w:i w:val="false"/>
                <w:sz w:val="20"/>
              </w:rPr>
              <w:t>• AA18005 ELDA Wilderness</w:t>
            </w:r>
            <w:r>
              <w:rPr/>
              <w:br/>
            </w:r>
            <w:r>
              <w:rPr>
                <w:rFonts w:cs="Arial"/>
                <w:b w:val="false"/>
                <w:i w:val="false"/>
                <w:sz w:val="20"/>
              </w:rPr>
              <w:t>• AA18006 ELDA Cave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Target Learners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Personnel selected for, preparing for, or currently undertaking significant command or senior leadership appointments.</w:t>
            </w:r>
            <w:r>
              <w:rPr/>
              <w:br/>
            </w:r>
            <w:r>
              <w:rPr>
                <w:rFonts w:cs="Arial"/>
                <w:b w:val="false"/>
                <w:i w:val="false"/>
                <w:sz w:val="20"/>
              </w:rPr>
              <w:t>2. Other personnel identified as requiring command-level experiential leadership development, as determined by the Learning Provider and relevant career management authority.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Learner Competency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Learners will be able to evaluate how their judgement and leadership behaviour affect people, teams and organisational outcomes, and deliberately shape the conditions required for effective performance in complex and demanding contexts.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Next Step</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1. Apply the insights and strategies developed through ELDA Command within current and future command and senior leadership appointments.</w:t>
            </w:r>
            <w:r>
              <w:rPr/>
              <w:br/>
            </w:r>
            <w:r>
              <w:rPr>
                <w:rFonts w:cs="Arial"/>
                <w:b w:val="false"/>
                <w:i w:val="false"/>
                <w:sz w:val="20"/>
              </w:rPr>
              <w:t>2. Continue deliberate reflection, feedback and adaptation of command behaviour as context, responsibility and organisational complexity change.</w:t>
            </w:r>
            <w:r>
              <w:rPr/>
              <w:br/>
            </w:r>
            <w:r>
              <w:rPr>
                <w:rFonts w:cs="Arial"/>
                <w:b w:val="false"/>
                <w:i w:val="false"/>
                <w:sz w:val="20"/>
              </w:rPr>
              <w:t>3. Review and update the individual Leadership Development Plan (LDP) to reflect emerging command and leadership development priorities.</w:t>
            </w:r>
          </w:p>
        </w:tc>
      </w:tr>
    </w:tbl>
    <w:p>
      <w:pPr>
        <w:pStyle w:val="Normal"/>
        <w:spacing w:before="0" w:after="80"/>
        <w:rPr/>
      </w:pPr>
      <w:r>
        <w:rPr/>
      </w:r>
    </w:p>
    <w:p>
      <w:pPr>
        <w:pStyle w:val="Heading1"/>
        <w:rPr/>
      </w:pPr>
      <w:r>
        <w:rPr>
          <w:rFonts w:cs="Arial"/>
          <w:b/>
          <w:i w:val="false"/>
          <w:color w:val="002516"/>
          <w:sz w:val="24"/>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C62026"/>
        </w:rPr>
        <w:t>•</w:t>
      </w:r>
      <w:r>
        <w:rPr>
          <w:rFonts w:cs="Arial"/>
          <w:b/>
          <w:color w:val="C62026"/>
        </w:rPr>
        <w:tab/>
      </w:r>
      <w:r>
        <w:rPr>
          <w:rFonts w:cs="Arial"/>
          <w:b w:val="false"/>
          <w:i w:val="false"/>
        </w:rPr>
        <w:t>Fitness: Pass or higher.</w:t>
      </w:r>
    </w:p>
    <w:p>
      <w:pPr>
        <w:pStyle w:val="Normal"/>
        <w:keepNext w:val="true"/>
        <w:spacing w:before="160" w:after="6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Entry Testing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Capacity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Minimum: 5</w:t>
            </w:r>
            <w:r>
              <w:rPr/>
              <w:br/>
            </w:r>
            <w:r>
              <w:rPr>
                <w:rFonts w:cs="Arial"/>
                <w:b w:val="false"/>
                <w:i w:val="false"/>
                <w:sz w:val="20"/>
              </w:rPr>
              <w:t>Maximum: 8</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MAP ADFELPS Minimum Rating</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N/A</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NZDF Civilian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NZDF Civilian learners: 2</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International (non-MAP)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Maximum number of International (non-MAP) learners: 1</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Non-NZDF Personnel Suitability</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Maximum number of non-NZDF learners: 1</w:t>
            </w:r>
          </w:p>
        </w:tc>
      </w:tr>
    </w:tbl>
    <w:p>
      <w:pPr>
        <w:pStyle w:val="Normal"/>
        <w:spacing w:before="0" w:after="80"/>
        <w:rPr/>
      </w:pPr>
      <w:r>
        <w:rPr/>
      </w:r>
    </w:p>
    <w:p>
      <w:pPr>
        <w:pStyle w:val="Heading1"/>
        <w:rPr/>
      </w:pPr>
      <w:r>
        <w:rPr>
          <w:rFonts w:cs="Arial"/>
          <w:b/>
          <w:i w:val="false"/>
          <w:color w:val="002516"/>
          <w:sz w:val="24"/>
        </w:rPr>
        <w:t>Governance and Delivery</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Governance Body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Training Review Board (ATRB), subject to confirmation of current governance arrangements.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Trade Sponsor / Authority</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Army Command School (ACS)</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Learning Provider</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New Zealand Army Leadership Centre (NZALC)</w:t>
            </w:r>
          </w:p>
        </w:tc>
      </w:tr>
    </w:tbl>
    <w:p>
      <w:pPr>
        <w:pStyle w:val="Normal"/>
        <w:spacing w:before="0" w:after="80"/>
        <w:rPr/>
      </w:pPr>
      <w:r>
        <w:rPr/>
      </w:r>
    </w:p>
    <w:p>
      <w:pPr>
        <w:pStyle w:val="Normal"/>
        <w:keepNext w:val="true"/>
        <w:spacing w:before="160" w:after="6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b w:val="false"/>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b w:val="false"/>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b w:val="false"/>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b w:val="false"/>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command-level leadership development.</w:t>
      </w:r>
    </w:p>
    <w:p>
      <w:pPr>
        <w:pStyle w:val="Heading1"/>
        <w:rPr/>
      </w:pPr>
      <w:r>
        <w:rPr>
          <w:rFonts w:cs="Arial"/>
          <w:b/>
          <w:i w:val="false"/>
          <w:color w:val="002516"/>
          <w:sz w:val="24"/>
        </w:rPr>
        <w:t>Nominations and Enrolments</w:t>
      </w:r>
    </w:p>
    <w:tbl>
      <w:tblPr>
        <w:tblW w:w="9298"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Field</w:t>
            </w:r>
          </w:p>
        </w:tc>
        <w:tc>
          <w:tcPr>
            <w:tcW w:w="6689" w:type="dxa"/>
            <w:tcBorders>
              <w:top w:val="single" w:sz="4" w:space="0" w:color="A89662"/>
              <w:left w:val="single" w:sz="4" w:space="0" w:color="A89662"/>
              <w:bottom w:val="single" w:sz="4" w:space="0" w:color="A89662"/>
              <w:right w:val="single" w:sz="4" w:space="0" w:color="A89662"/>
            </w:tcBorders>
            <w:shd w:color="auto" w:fill="002516" w:val="clear"/>
          </w:tcPr>
          <w:p>
            <w:pPr>
              <w:pStyle w:val="Normal"/>
              <w:keepNext w:val="true"/>
              <w:spacing w:lineRule="auto" w:line="252" w:before="0" w:after="0"/>
              <w:rPr/>
            </w:pPr>
            <w:r>
              <w:rPr>
                <w:rFonts w:cs="Arial"/>
                <w:b/>
                <w:i w:val="false"/>
                <w:color w:val="FFFFFF"/>
                <w:sz w:val="18"/>
              </w:rPr>
              <w:t>Entry</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keepNext w:val="true"/>
              <w:spacing w:lineRule="auto" w:line="252" w:before="0" w:after="0"/>
              <w:rPr/>
            </w:pPr>
            <w:r>
              <w:rPr>
                <w:rFonts w:cs="Arial"/>
                <w:b/>
                <w:i w:val="false"/>
                <w:color w:val="002516"/>
                <w:sz w:val="18"/>
              </w:rPr>
              <w:t>Course Controller</w:t>
            </w:r>
          </w:p>
        </w:tc>
        <w:tc>
          <w:tcPr>
            <w:tcW w:w="6689" w:type="dxa"/>
            <w:tcBorders>
              <w:top w:val="single" w:sz="4" w:space="0" w:color="A89662"/>
              <w:left w:val="single" w:sz="4" w:space="0" w:color="A89662"/>
              <w:bottom w:val="single" w:sz="4" w:space="0" w:color="A89662"/>
              <w:right w:val="single" w:sz="4" w:space="0" w:color="A89662"/>
            </w:tcBorders>
          </w:tcPr>
          <w:p>
            <w:pPr>
              <w:pStyle w:val="Normal"/>
              <w:keepNext w:val="true"/>
              <w:spacing w:lineRule="auto" w:line="252" w:before="0" w:after="0"/>
              <w:rPr/>
            </w:pPr>
            <w:r>
              <w:rPr>
                <w:rFonts w:cs="Arial"/>
                <w:b w:val="false"/>
                <w:i w:val="false"/>
                <w:sz w:val="20"/>
              </w:rPr>
              <w:t>Chief Instructor, New Zealand Army Leadership Centre</w:t>
            </w:r>
          </w:p>
        </w:tc>
      </w:tr>
      <w:tr>
        <w:trPr>
          <w:cantSplit w:val="true"/>
        </w:trPr>
        <w:tc>
          <w:tcPr>
            <w:tcW w:w="2608" w:type="dxa"/>
            <w:tcBorders>
              <w:top w:val="single" w:sz="4" w:space="0" w:color="A89662"/>
              <w:left w:val="single" w:sz="4" w:space="0" w:color="A89662"/>
              <w:bottom w:val="single" w:sz="4" w:space="0" w:color="A89662"/>
              <w:right w:val="single" w:sz="4" w:space="0" w:color="A89662"/>
            </w:tcBorders>
            <w:shd w:color="auto" w:fill="CDD2B7" w:val="clear"/>
          </w:tcPr>
          <w:p>
            <w:pPr>
              <w:pStyle w:val="Normal"/>
              <w:spacing w:lineRule="auto" w:line="252" w:before="0" w:after="0"/>
              <w:rPr/>
            </w:pPr>
            <w:r>
              <w:rPr>
                <w:rFonts w:cs="Arial"/>
                <w:b/>
                <w:i w:val="false"/>
                <w:color w:val="002516"/>
                <w:sz w:val="18"/>
              </w:rPr>
              <w:t>Opening and Closing Times</w:t>
            </w:r>
          </w:p>
        </w:tc>
        <w:tc>
          <w:tcPr>
            <w:tcW w:w="6689" w:type="dxa"/>
            <w:tcBorders>
              <w:top w:val="single" w:sz="4" w:space="0" w:color="A89662"/>
              <w:left w:val="single" w:sz="4" w:space="0" w:color="A89662"/>
              <w:bottom w:val="single" w:sz="4" w:space="0" w:color="A89662"/>
              <w:right w:val="single" w:sz="4" w:space="0" w:color="A89662"/>
            </w:tcBorders>
          </w:tcPr>
          <w:p>
            <w:pPr>
              <w:pStyle w:val="Normal"/>
              <w:spacing w:lineRule="auto" w:line="252" w:before="0" w:after="0"/>
              <w:rPr/>
            </w:pPr>
            <w:r>
              <w:rPr>
                <w:rFonts w:cs="Arial"/>
                <w:b w:val="false"/>
                <w:i w:val="false"/>
                <w:sz w:val="20"/>
              </w:rPr>
              <w:t>Open: D-90</w:t>
            </w:r>
            <w:r>
              <w:rPr/>
              <w:br/>
            </w:r>
            <w:r>
              <w:rPr>
                <w:rFonts w:cs="Arial"/>
                <w:b w:val="false"/>
                <w:i w:val="false"/>
                <w:sz w:val="20"/>
              </w:rPr>
              <w:t>Close: D-15</w:t>
            </w:r>
          </w:p>
        </w:tc>
      </w:tr>
    </w:tbl>
    <w:p>
      <w:pPr>
        <w:pStyle w:val="Normal"/>
        <w:spacing w:before="0" w:after="80"/>
        <w:rPr/>
      </w:pPr>
      <w:r>
        <w:rPr/>
      </w:r>
    </w:p>
    <w:p>
      <w:pPr>
        <w:pStyle w:val="Normal"/>
        <w:keepNext w:val="true"/>
        <w:spacing w:before="160" w:after="6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keepNext w:val="true"/>
        <w:spacing w:before="160" w:after="60"/>
        <w:rPr/>
      </w:pPr>
      <w:r>
        <w:rPr>
          <w:rFonts w:cs="Arial"/>
          <w:b/>
          <w:i w:val="false"/>
          <w:color w:val="002516"/>
          <w:sz w:val="21"/>
        </w:rPr>
        <w:t>Priority Learners</w:t>
      </w:r>
    </w:p>
    <w:p>
      <w:pPr>
        <w:pStyle w:val="Normal"/>
        <w:rPr/>
      </w:pPr>
      <w:r>
        <w:rPr>
          <w:rFonts w:cs="Arial"/>
          <w:b w:val="false"/>
          <w:i w:val="false"/>
        </w:rPr>
        <w:t>Priority is given to personnel preparing for, or recently appointed to, significant command and senior leadership appointments, as determined by the Learning Provider in consultation with relevant career management authorities.</w:t>
      </w:r>
    </w:p>
    <w:p>
      <w:pPr>
        <w:pStyle w:val="Normal"/>
        <w:keepNext w:val="true"/>
        <w:spacing w:before="160" w:after="6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160" w:after="60"/>
        <w:rPr/>
      </w:pPr>
      <w:r>
        <w:rPr>
          <w:rFonts w:cs="Arial"/>
          <w:b/>
          <w:i w:val="false"/>
          <w:color w:val="002516"/>
          <w:sz w:val="21"/>
        </w:rPr>
        <w:t>Notes</w:t>
      </w:r>
    </w:p>
    <w:p>
      <w:pPr>
        <w:pStyle w:val="Normal"/>
        <w:tabs>
          <w:tab w:val="clear" w:pos="720"/>
          <w:tab w:val="left" w:pos="397" w:leader="none"/>
        </w:tabs>
        <w:spacing w:before="60" w:after="40"/>
        <w:ind w:hanging="397" w:left="397"/>
        <w:rPr/>
      </w:pPr>
      <w:r>
        <w:rPr>
          <w:rFonts w:cs="Arial"/>
          <w:b w:val="false"/>
        </w:rPr>
        <w:t>1.</w:t>
        <w:tab/>
      </w:r>
      <w:r>
        <w:rPr>
          <w:rFonts w:cs="Arial"/>
          <w:b w:val="false"/>
          <w:i w:val="false"/>
        </w:rPr>
        <w:t>ELDA Command develops command effectiveness through experiential learning conducted in complex and demanding environments involving real consequences, uncertainty, interpersonal dynamics and managed risk.</w:t>
      </w:r>
    </w:p>
    <w:p>
      <w:pPr>
        <w:pStyle w:val="Normal"/>
        <w:tabs>
          <w:tab w:val="clear" w:pos="720"/>
          <w:tab w:val="left" w:pos="397" w:leader="none"/>
        </w:tabs>
        <w:spacing w:before="60" w:after="40"/>
        <w:ind w:hanging="397" w:left="397"/>
        <w:rPr/>
      </w:pPr>
      <w:r>
        <w:rPr>
          <w:rFonts w:cs="Arial"/>
          <w:b w:val="false"/>
        </w:rPr>
        <w:t>2.</w:t>
        <w:tab/>
      </w:r>
      <w:r>
        <w:rPr>
          <w:rFonts w:cs="Arial"/>
          <w:b w:val="false"/>
          <w:i w:val="false"/>
        </w:rPr>
        <w:t>The selected adventure activity provides the experiential vehicle for command and leadership development; successful completion of the activity is not, in itself, the primary learning outcome.</w:t>
      </w:r>
    </w:p>
    <w:p>
      <w:pPr>
        <w:pStyle w:val="Normal"/>
        <w:tabs>
          <w:tab w:val="clear" w:pos="720"/>
          <w:tab w:val="left" w:pos="397" w:leader="none"/>
        </w:tabs>
        <w:spacing w:before="60" w:after="40"/>
        <w:ind w:hanging="397" w:left="397"/>
        <w:rPr/>
      </w:pPr>
      <w:r>
        <w:rPr>
          <w:rFonts w:cs="Arial"/>
          <w:b w:val="false"/>
        </w:rPr>
        <w:t>3.</w:t>
        <w:tab/>
      </w:r>
      <w:r>
        <w:rPr>
          <w:rFonts w:cs="Arial"/>
          <w:b w:val="false"/>
          <w:i w:val="false"/>
        </w:rPr>
        <w:t>The course develops strategic self-awareness by enabling learners to identify and evaluate their default behaviours, assumptions, biases and decision-making tendencies, and the effects these have on people, teams and organisational outcomes.</w:t>
      </w:r>
    </w:p>
    <w:p>
      <w:pPr>
        <w:pStyle w:val="Normal"/>
        <w:tabs>
          <w:tab w:val="clear" w:pos="720"/>
          <w:tab w:val="left" w:pos="397" w:leader="none"/>
        </w:tabs>
        <w:spacing w:before="60" w:after="40"/>
        <w:ind w:hanging="397" w:left="397"/>
        <w:rPr/>
      </w:pPr>
      <w:r>
        <w:rPr>
          <w:rFonts w:cs="Arial"/>
          <w:b w:val="false"/>
        </w:rPr>
        <w:t>4.</w:t>
        <w:tab/>
      </w:r>
      <w:r>
        <w:rPr>
          <w:rFonts w:cs="Arial"/>
          <w:b w:val="false"/>
          <w:i w:val="false"/>
        </w:rPr>
        <w:t>Psychometric, leadership and team-development tools may be used to support self-awareness, reflection and team development. These tools support the learning outcomes rather than constitute learning outcomes in themselves.</w:t>
      </w:r>
    </w:p>
    <w:p>
      <w:pPr>
        <w:pStyle w:val="Normal"/>
        <w:tabs>
          <w:tab w:val="clear" w:pos="720"/>
          <w:tab w:val="left" w:pos="397" w:leader="none"/>
        </w:tabs>
        <w:spacing w:before="60" w:after="40"/>
        <w:ind w:hanging="397" w:left="397"/>
        <w:rPr/>
      </w:pPr>
      <w:r>
        <w:rPr>
          <w:rFonts w:cs="Arial"/>
          <w:b w:val="false"/>
        </w:rPr>
        <w:t>5.</w:t>
        <w:tab/>
      </w:r>
      <w:r>
        <w:rPr>
          <w:rFonts w:cs="Arial"/>
          <w:b w:val="false"/>
          <w:i w:val="false"/>
        </w:rPr>
        <w:t>Learners are provided repeated opportunities to exercise judgement, make decisions, observe their effects, receive feedback, reflect, adapt their behaviour and reapply their learning.</w:t>
      </w:r>
    </w:p>
    <w:p>
      <w:pPr>
        <w:pStyle w:val="Normal"/>
        <w:tabs>
          <w:tab w:val="clear" w:pos="720"/>
          <w:tab w:val="left" w:pos="397" w:leader="none"/>
        </w:tabs>
        <w:spacing w:before="60" w:after="40"/>
        <w:ind w:hanging="397" w:left="397"/>
        <w:rPr/>
      </w:pPr>
      <w:r>
        <w:rPr>
          <w:rFonts w:cs="Arial"/>
          <w:b w:val="false"/>
        </w:rPr>
        <w:t>6.</w:t>
        <w:tab/>
      </w:r>
      <w:r>
        <w:rPr>
          <w:rFonts w:cs="Arial"/>
          <w:b w:val="false"/>
          <w:i w:val="false"/>
        </w:rPr>
        <w:t>Army ethos and values are embedded throughout the course and are demonstrated through observable judgement, decision-making, use of authority, treatment of others and leadership behaviour.</w:t>
      </w:r>
    </w:p>
    <w:p>
      <w:pPr>
        <w:pStyle w:val="Normal"/>
        <w:tabs>
          <w:tab w:val="clear" w:pos="720"/>
          <w:tab w:val="left" w:pos="397" w:leader="none"/>
        </w:tabs>
        <w:spacing w:before="60" w:after="40"/>
        <w:ind w:hanging="397" w:left="397"/>
        <w:rPr/>
      </w:pPr>
      <w:r>
        <w:rPr>
          <w:rFonts w:cs="Arial"/>
          <w:b w:val="false"/>
        </w:rPr>
        <w:t>7.</w:t>
        <w:tab/>
      </w:r>
      <w:r>
        <w:rPr>
          <w:rFonts w:cs="Arial"/>
          <w:b w:val="false"/>
          <w:i w:val="false"/>
        </w:rPr>
        <w:t>Course activities are designed to enable learners to examine how their leadership creates or inhibits the conditions required for trust, clarity, appropriate challenge, accountability, initiative and effective team performance.</w:t>
      </w:r>
    </w:p>
    <w:p>
      <w:pPr>
        <w:pStyle w:val="Normal"/>
        <w:tabs>
          <w:tab w:val="clear" w:pos="720"/>
          <w:tab w:val="left" w:pos="397" w:leader="none"/>
        </w:tabs>
        <w:spacing w:before="60" w:after="40"/>
        <w:ind w:hanging="397" w:left="397"/>
        <w:rPr/>
      </w:pPr>
      <w:r>
        <w:rPr>
          <w:rFonts w:cs="Arial"/>
          <w:b w:val="false"/>
        </w:rPr>
        <w:t>8.</w:t>
        <w:tab/>
      </w:r>
      <w:r>
        <w:rPr>
          <w:rFonts w:cs="Arial"/>
          <w:b w:val="false"/>
          <w:i w:val="false"/>
        </w:rPr>
        <w:t>Learning identified during ELDA Command is to inform the learner's ongoing Leadership Development Plan and continued development within command and senior leadership appointments.</w:t>
      </w:r>
    </w:p>
    <w:p>
      <w:pPr>
        <w:pStyle w:val="Normal"/>
        <w:tabs>
          <w:tab w:val="clear" w:pos="720"/>
          <w:tab w:val="left" w:pos="397" w:leader="none"/>
        </w:tabs>
        <w:spacing w:before="60" w:after="40"/>
        <w:ind w:hanging="397" w:left="397"/>
        <w:rPr/>
      </w:pPr>
      <w:r>
        <w:rPr>
          <w:rFonts w:cs="Arial"/>
          <w:b w:val="false"/>
        </w:rPr>
        <w:t>9.</w:t>
        <w:tab/>
      </w:r>
      <w:r>
        <w:rPr>
          <w:rFonts w:cs="Arial"/>
          <w:b w:val="false"/>
          <w:i w:val="false"/>
        </w:rPr>
        <w:t>Course duration may vary between 8 and 10 training days depending on activity, travel requirements, learner experience and course design.</w:t>
      </w:r>
    </w:p>
    <w:p>
      <w:pPr>
        <w:pStyle w:val="Normal"/>
        <w:tabs>
          <w:tab w:val="clear" w:pos="720"/>
          <w:tab w:val="left" w:pos="397" w:leader="none"/>
        </w:tabs>
        <w:spacing w:before="60" w:after="40"/>
        <w:ind w:hanging="397" w:left="397"/>
        <w:rPr/>
      </w:pPr>
      <w:r>
        <w:rPr>
          <w:rFonts w:cs="Arial"/>
          <w:b w:val="false"/>
        </w:rPr>
        <w:t>10.</w:t>
        <w:tab/>
      </w:r>
      <w:r>
        <w:rPr>
          <w:rFonts w:cs="Arial"/>
          <w:b w:val="false"/>
          <w:i w:val="false"/>
        </w:rPr>
        <w:t>Activity selection, instructor allocation and delivery are to comply with the NZALC Safety Management Plan and applicable activity SOPs.</w:t>
      </w:r>
    </w:p>
    <w:p>
      <w:pPr>
        <w:pStyle w:val="Normal"/>
        <w:tabs>
          <w:tab w:val="clear" w:pos="720"/>
          <w:tab w:val="left" w:pos="397" w:leader="none"/>
        </w:tabs>
        <w:spacing w:before="60" w:after="40"/>
        <w:ind w:hanging="397" w:left="397"/>
        <w:rPr/>
      </w:pPr>
      <w:r>
        <w:rPr>
          <w:rFonts w:cs="Arial"/>
          <w:b w:val="false"/>
        </w:rPr>
        <w:t>11.</w:t>
        <w:tab/>
      </w:r>
      <w:r>
        <w:rPr>
          <w:rFonts w:cs="Arial"/>
          <w:b w:val="false"/>
          <w:i w:val="false"/>
        </w:rPr>
        <w:t>The Learning Provider is the New Zealand Army Leadership Centre (NZALC).</w:t>
      </w:r>
    </w:p>
    <w:p>
      <w:pPr>
        <w:pStyle w:val="Normal"/>
        <w:keepNext w:val="true"/>
        <w:spacing w:before="160" w:after="6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1"/>
        <w:rPr/>
      </w:pPr>
      <w:r>
        <w:rPr>
          <w:rFonts w:cs="Arial"/>
          <w:b/>
          <w:i w:val="false"/>
          <w:color w:val="002516"/>
          <w:sz w:val="24"/>
        </w:rPr>
        <w:t>Course Structure</w:t>
      </w:r>
    </w:p>
    <w:p>
      <w:pPr>
        <w:pStyle w:val="Normal"/>
        <w:keepNext w:val="true"/>
        <w:spacing w:before="160" w:after="60"/>
        <w:rPr/>
      </w:pPr>
      <w:r>
        <w:rPr>
          <w:rFonts w:cs="Arial"/>
          <w:b/>
          <w:i w:val="false"/>
          <w:color w:val="002516"/>
          <w:sz w:val="21"/>
        </w:rPr>
        <w:t>COG 1: Command Effectiveness</w:t>
      </w:r>
    </w:p>
    <w:p>
      <w:pPr>
        <w:pStyle w:val="Normal"/>
        <w:keepNext w:val="true"/>
        <w:spacing w:before="120" w:after="60"/>
        <w:rPr/>
      </w:pPr>
      <w:r>
        <w:rPr>
          <w:rFonts w:cs="Arial"/>
          <w:b/>
          <w:i w:val="false"/>
          <w:color w:val="000000"/>
          <w:sz w:val="20"/>
        </w:rPr>
        <w:t>LO 1.1: Evaluate personal command behaviour, judgement and bias</w:t>
      </w:r>
    </w:p>
    <w:p>
      <w:pPr>
        <w:pStyle w:val="Normal"/>
        <w:rPr/>
      </w:pPr>
      <w:r>
        <w:rPr>
          <w:rFonts w:cs="Arial"/>
          <w:b w:val="false"/>
          <w:i w:val="false"/>
        </w:rPr>
        <w:t>Learners critically evaluate their default behaviours, assumptions, biases and decision-making tendencies, particularly under conditions of pressure, uncertainty and complexity, and assess their effect on people, teams and organisational outcomes.</w:t>
      </w:r>
    </w:p>
    <w:p>
      <w:pPr>
        <w:pStyle w:val="Normal"/>
        <w:keepNext w:val="true"/>
        <w:spacing w:before="120" w:after="60"/>
        <w:rPr/>
      </w:pPr>
      <w:r>
        <w:rPr>
          <w:rFonts w:cs="Arial"/>
          <w:b/>
          <w:i w:val="false"/>
          <w:color w:val="000000"/>
          <w:sz w:val="20"/>
        </w:rPr>
        <w:t>LO 1.2: Exercise judgement and make decisions in complex and demanding conditions</w:t>
      </w:r>
    </w:p>
    <w:p>
      <w:pPr>
        <w:pStyle w:val="Normal"/>
        <w:rPr/>
      </w:pPr>
      <w:r>
        <w:rPr>
          <w:rFonts w:cs="Arial"/>
          <w:b w:val="false"/>
          <w:i w:val="false"/>
        </w:rPr>
        <w:t>Learners exercise judgement, balance competing demands and risk, make timely decisions with incomplete information, and review and adapt their decisions as circumstances change.</w:t>
      </w:r>
    </w:p>
    <w:p>
      <w:pPr>
        <w:pStyle w:val="Normal"/>
        <w:keepNext w:val="true"/>
        <w:spacing w:before="120" w:after="60"/>
        <w:rPr/>
      </w:pPr>
      <w:r>
        <w:rPr>
          <w:rFonts w:cs="Arial"/>
          <w:b/>
          <w:i w:val="false"/>
          <w:color w:val="000000"/>
          <w:sz w:val="20"/>
        </w:rPr>
        <w:t>LO 1.3: Create the conditions for effective team and organisational performance</w:t>
      </w:r>
    </w:p>
    <w:p>
      <w:pPr>
        <w:pStyle w:val="Normal"/>
        <w:rPr/>
      </w:pPr>
      <w:r>
        <w:rPr>
          <w:rFonts w:cs="Arial"/>
          <w:b w:val="false"/>
          <w:i w:val="false"/>
        </w:rPr>
        <w:t>Learners deliberately shape the leadership environment to enable trust, clarity, appropriate challenge, accountability, initiative and effective performance, recognising the effect their behaviour and use of authority have on others.</w:t>
      </w:r>
    </w:p>
    <w:p>
      <w:pPr>
        <w:pStyle w:val="Normal"/>
        <w:keepNext w:val="true"/>
        <w:spacing w:before="120" w:after="60"/>
        <w:rPr/>
      </w:pPr>
      <w:r>
        <w:rPr>
          <w:rFonts w:cs="Arial"/>
          <w:b/>
          <w:i w:val="false"/>
          <w:color w:val="000000"/>
          <w:sz w:val="20"/>
        </w:rPr>
        <w:t>LO 1.4: Develop strategies for continued command and leadership effectiveness</w:t>
      </w:r>
    </w:p>
    <w:p>
      <w:pPr>
        <w:pStyle w:val="Normal"/>
        <w:widowControl/>
        <w:bidi w:val="0"/>
        <w:spacing w:lineRule="auto" w:line="268" w:before="0" w:after="100"/>
        <w:jc w:val="left"/>
        <w:rPr/>
      </w:pPr>
      <w:r>
        <w:rPr>
          <w:rFonts w:cs="Arial"/>
          <w:b w:val="false"/>
          <w:i w:val="false"/>
        </w:rPr>
        <w:t>Learners integrate experiential learning, feedback and self-evaluation to identify command and leadership strengths, risks and development priorities, and establish deliberate strategies for continued effectiveness across changing contexts and responsibilities.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A18009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A18009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240" w:after="10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240" w:after="10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1042</Words>
  <Characters>6762</Characters>
  <CharactersWithSpaces>7701</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2026-09-07T00:57:45Z</dcterms:modified>
  <cp:revision>2</cp:revision>
  <dc:subject/>
  <dc:title>A18009 ELDA Command</dc:title>
</cp:coreProperties>
</file>

<file path=docProps/custom.xml><?xml version="1.0" encoding="utf-8"?>
<Properties xmlns="http://schemas.openxmlformats.org/officeDocument/2006/custom-properties" xmlns:vt="http://schemas.openxmlformats.org/officeDocument/2006/docPropsVTypes"/>
</file>