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8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spacing w:before="0" w:after="20"/>
        <w:rPr/>
      </w:pPr>
      <w:r>
        <w:rPr>
          <w:rFonts w:cs="Arial"/>
          <w:b/>
          <w:color w:val="000000"/>
          <w:sz w:val="40"/>
        </w:rPr>
        <w:t>A18011 ELDA Lead Teams</w:t>
      </w:r>
    </w:p>
    <w:p>
      <w:pPr>
        <w:pStyle w:val="Normal"/>
        <w:pBdr>
          <w:bottom w:val="single" w:sz="18" w:space="8" w:color="C62026"/>
        </w:pBdr>
        <w:spacing w:before="0" w:after="80"/>
        <w:rPr/>
      </w:pPr>
      <w:r>
        <w:rPr>
          <w:rFonts w:cs="Arial"/>
          <w:b/>
          <w:color w:val="002516"/>
          <w:sz w:val="24"/>
        </w:rPr>
        <w:t>Course Data Sheet</w:t>
      </w:r>
    </w:p>
    <w:p>
      <w:pPr>
        <w:pStyle w:val="Normal"/>
        <w:spacing w:before="120" w:after="120"/>
        <w:rPr/>
      </w:pPr>
      <w:r>
        <w:rPr>
          <w:rFonts w:cs="Arial"/>
          <w:color w:val="002516"/>
          <w:sz w:val="21"/>
        </w:rPr>
        <w:t>NZ Army Leadership Centre | Army Command School</w:t>
      </w:r>
    </w:p>
    <w:p>
      <w:pPr>
        <w:pStyle w:val="Normal"/>
        <w:pBdr>
          <w:bottom w:val="single" w:sz="6" w:space="6" w:color="A89662"/>
        </w:pBdr>
        <w:spacing w:before="0" w:after="200"/>
        <w:rPr/>
      </w:pPr>
      <w:r>
        <w:rPr>
          <w:rFonts w:cs="Arial"/>
          <w:b/>
          <w:color w:val="002516"/>
          <w:sz w:val="18"/>
        </w:rPr>
        <w:t xml:space="preserve">Reference  </w:t>
      </w:r>
      <w:r>
        <w:rPr>
          <w:rFonts w:cs="Arial"/>
          <w:color w:val="000000"/>
          <w:sz w:val="18"/>
        </w:rPr>
        <w:t>SOLO Course Data Sheet A18011, AL 3.0</w:t>
      </w:r>
      <w:r>
        <w:rPr>
          <w:rFonts w:cs="Arial"/>
        </w:rPr>
        <w:t xml:space="preserve">      </w:t>
      </w:r>
      <w:r>
        <w:rPr>
          <w:rFonts w:cs="Arial"/>
          <w:b/>
          <w:color w:val="002516"/>
          <w:sz w:val="18"/>
        </w:rPr>
        <w:t xml:space="preserve">Date  </w:t>
      </w:r>
      <w:r>
        <w:rPr>
          <w:rFonts w:cs="Arial"/>
          <w:color w:val="000000"/>
          <w:sz w:val="18"/>
        </w:rPr>
        <w:t>September 2026</w:t>
      </w:r>
    </w:p>
    <w:p>
      <w:pPr>
        <w:pStyle w:val="Heading1"/>
        <w:rPr/>
      </w:pPr>
      <w:r>
        <w:rPr>
          <w:rFonts w:cs="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A18011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ELDA Lead Teams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6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The aim of ELDA Lead Teams is to develop individual leadership effectiveness through experiential small-team leadership under pressure, enabling learners to better understand, regulate and deliberately develop their leadership performance.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Regular Force personnel selected to undertake the A1530 Promotion All Corps RF JNCO Course.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Learners will be able to apply effective self-management and leadership behaviours under pressure, and evaluate their performance to support continued leadership development.</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Apply the leadership and self-management strategies developed on ELDA Lead Teams throughout the remainder of the A1530 JNCO Course and in the workplace.</w:t>
            </w:r>
            <w:r>
              <w:rPr/>
              <w:br/>
            </w:r>
            <w:r>
              <w:rPr>
                <w:rFonts w:cs="Arial"/>
                <w:b w:val="false"/>
                <w:i w:val="false"/>
                <w:sz w:val="20"/>
              </w:rPr>
              <w:t>2. Continue deliberate reflection, self-evaluation and development of individual leadership effectiveness.</w:t>
            </w:r>
          </w:p>
        </w:tc>
      </w:tr>
    </w:tbl>
    <w:p>
      <w:pPr>
        <w:pStyle w:val="Normal"/>
        <w:spacing w:before="0" w:after="80"/>
        <w:rPr/>
      </w:pPr>
      <w:r>
        <w:rPr/>
      </w:r>
    </w:p>
    <w:p>
      <w:pPr>
        <w:pStyle w:val="Heading1"/>
        <w:rPr/>
      </w:pPr>
      <w:r>
        <w:rPr>
          <w:rFonts w:cs="Arial"/>
          <w:b/>
          <w:i w:val="false"/>
          <w:color w:val="002516"/>
          <w:sz w:val="24"/>
        </w:rPr>
        <w:t>Course Entry Requirements</w:t>
      </w:r>
    </w:p>
    <w:p>
      <w:pPr>
        <w:pStyle w:val="Normal"/>
        <w:rPr/>
      </w:pPr>
      <w:r>
        <w:rPr>
          <w:rFonts w:cs="Arial"/>
          <w:b w:val="false"/>
          <w:i w:val="false"/>
        </w:rPr>
        <w:t>All of the following:</w:t>
      </w:r>
    </w:p>
    <w:p>
      <w:pPr>
        <w:pStyle w:val="Normal"/>
        <w:rPr/>
      </w:pPr>
      <w:r>
        <w:rPr>
          <w:rFonts w:cs="Arial"/>
          <w:b w:val="false"/>
          <w:i w:val="false"/>
        </w:rPr>
        <w:t>Retain the existing formal A1530 entry requirements and prerequisite codes currently recorded in SOLO, subject to administrative verification.</w:t>
      </w:r>
    </w:p>
    <w:p>
      <w:pPr>
        <w:pStyle w:val="Normal"/>
        <w:keepNext w:val="true"/>
        <w:spacing w:before="160" w:after="60"/>
        <w:rPr/>
      </w:pPr>
      <w:r>
        <w:rPr>
          <w:rFonts w:cs="Arial"/>
          <w:b/>
          <w:i w:val="false"/>
          <w:color w:val="002516"/>
          <w:sz w:val="21"/>
        </w:rPr>
        <w:t>Manual Checks: Learning Provider Checks</w:t>
      </w:r>
    </w:p>
    <w:p>
      <w:pPr>
        <w:pStyle w:val="Normal"/>
        <w:rPr/>
      </w:pPr>
      <w:r>
        <w:rPr>
          <w:rFonts w:cs="Arial"/>
          <w:b w:val="false"/>
          <w:i w:val="false"/>
        </w:rPr>
        <w:t>Learners must be medically fit to participate in prolonged field-based physical activity while carrying FSMO.</w:t>
      </w:r>
    </w:p>
    <w:p>
      <w:pPr>
        <w:pStyle w:val="Normal"/>
        <w:rPr/>
      </w:pPr>
      <w:r>
        <w:rPr>
          <w:rFonts w:cs="Arial"/>
          <w:b w:val="false"/>
          <w:i w:val="false"/>
        </w:rPr>
        <w:t>The course may involve periods of continuous physical activity of approximately 12–18 hours per day over four consecutive days without return to hard standing.</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Minimum: 8 / Maximum: 32</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N/A</w:t>
            </w:r>
          </w:p>
        </w:tc>
      </w:tr>
    </w:tbl>
    <w:p>
      <w:pPr>
        <w:pStyle w:val="Normal"/>
        <w:spacing w:before="0" w:after="80"/>
        <w:rPr/>
      </w:pPr>
      <w:r>
        <w:rPr/>
      </w:r>
    </w:p>
    <w:p>
      <w:pPr>
        <w:pStyle w:val="Heading1"/>
        <w:rPr/>
      </w:pPr>
      <w:r>
        <w:rPr>
          <w:rFonts w:cs="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Training Review Board (ATRB)</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Chief Instructor, New Zealand Army Leadership Centre</w:t>
            </w:r>
          </w:p>
        </w:tc>
      </w:tr>
    </w:tbl>
    <w:p>
      <w:pPr>
        <w:pStyle w:val="Normal"/>
        <w:spacing w:before="0" w:after="80"/>
        <w:rPr/>
      </w:pPr>
      <w:r>
        <w:rPr/>
      </w:r>
    </w:p>
    <w:p>
      <w:pPr>
        <w:pStyle w:val="Normal"/>
        <w:keepNext w:val="true"/>
        <w:spacing w:before="160" w:after="6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b w:val="false"/>
        </w:rPr>
        <w:t>2.</w:t>
        <w:tab/>
      </w:r>
      <w:r>
        <w:rPr>
          <w:rFonts w:cs="Arial"/>
          <w:b/>
          <w:i w:val="false"/>
        </w:rPr>
        <w:t>Instructional Staff.</w:t>
      </w:r>
      <w:r>
        <w:rPr>
          <w:rFonts w:cs="Arial"/>
          <w:b w:val="false"/>
          <w:i w:val="false"/>
        </w:rPr>
        <w:t xml:space="preserve"> Up to 5 × NZALC Instructors, appropriately qualified in accordance with the NZALC Activity SOP Part 3 Sect 3 (Wilderness), reflecting applicable industry standards for outdoor instruction and subject to external audit.</w:t>
      </w:r>
    </w:p>
    <w:p>
      <w:pPr>
        <w:pStyle w:val="Normal"/>
        <w:tabs>
          <w:tab w:val="clear" w:pos="720"/>
          <w:tab w:val="left" w:pos="397" w:leader="none"/>
        </w:tabs>
        <w:spacing w:before="60" w:after="40"/>
        <w:ind w:hanging="397" w:left="397"/>
        <w:rPr/>
      </w:pPr>
      <w:r>
        <w:rPr>
          <w:rFonts w:cs="Arial"/>
          <w:b w:val="false"/>
        </w:rPr>
        <w:t>3.</w:t>
        <w:tab/>
      </w:r>
      <w:r>
        <w:rPr>
          <w:rFonts w:cs="Arial"/>
          <w:b/>
          <w:i w:val="false"/>
        </w:rPr>
        <w:t>Instructor Ratio.</w:t>
      </w:r>
      <w:r>
        <w:rPr>
          <w:rFonts w:cs="Arial"/>
          <w:b w:val="false"/>
          <w:i w:val="false"/>
        </w:rPr>
        <w:t xml:space="preserve"> A minimum instructor-to-learner ratio of 1:8 is to be maintained for field-based activities.</w:t>
      </w:r>
    </w:p>
    <w:p>
      <w:pPr>
        <w:pStyle w:val="Heading1"/>
        <w:rPr/>
      </w:pPr>
      <w:r>
        <w:rPr>
          <w:rFonts w:cs="Arial"/>
          <w:b/>
          <w:i w:val="false"/>
          <w:color w:val="002516"/>
          <w:sz w:val="24"/>
        </w:rPr>
        <w:t>Nominations and Enrolments</w:t>
      </w:r>
    </w:p>
    <w:p>
      <w:pPr>
        <w:pStyle w:val="Normal"/>
        <w:keepNext w:val="true"/>
        <w:spacing w:before="160" w:after="6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keepNext w:val="true"/>
        <w:spacing w:before="160" w:after="60"/>
        <w:rPr/>
      </w:pPr>
      <w:r>
        <w:rPr>
          <w:rFonts w:cs="Arial"/>
          <w:b/>
          <w:i w:val="false"/>
          <w:color w:val="002516"/>
          <w:sz w:val="21"/>
        </w:rPr>
        <w:t>Priority Learners</w:t>
      </w:r>
    </w:p>
    <w:p>
      <w:pPr>
        <w:pStyle w:val="Normal"/>
        <w:rPr/>
      </w:pPr>
      <w:r>
        <w:rPr>
          <w:rFonts w:cs="Arial"/>
          <w:b w:val="false"/>
          <w:i w:val="false"/>
        </w:rPr>
        <w:t>Learners accepted onto the A1530 Promotion All Corps RF JNCO Course.</w:t>
      </w:r>
    </w:p>
    <w:p>
      <w:pPr>
        <w:pStyle w:val="Normal"/>
        <w:keepNext w:val="true"/>
        <w:spacing w:before="160" w:after="60"/>
        <w:rPr/>
      </w:pPr>
      <w:r>
        <w:rPr>
          <w:rFonts w:cs="Arial"/>
          <w:b/>
          <w:i w:val="false"/>
          <w:color w:val="002516"/>
          <w:sz w:val="21"/>
        </w:rPr>
        <w:t>Included Courses</w:t>
      </w:r>
    </w:p>
    <w:p>
      <w:pPr>
        <w:pStyle w:val="Normal"/>
        <w:rPr/>
      </w:pPr>
      <w:r>
        <w:rPr>
          <w:rFonts w:cs="Arial"/>
          <w:b w:val="false"/>
          <w:i w:val="false"/>
        </w:rPr>
        <w:t>Retain current SOLO administrative configuration as applicable.</w:t>
      </w:r>
    </w:p>
    <w:p>
      <w:pPr>
        <w:pStyle w:val="Normal"/>
        <w:keepNext w:val="true"/>
        <w:spacing w:before="160" w:after="60"/>
        <w:rPr/>
      </w:pPr>
      <w:r>
        <w:rPr>
          <w:rFonts w:cs="Arial"/>
          <w:b/>
          <w:i w:val="false"/>
          <w:color w:val="002516"/>
          <w:sz w:val="21"/>
        </w:rPr>
        <w:t>Notes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ELDA Lead Teams is an included course within the A1530 Promotion All Corps RF JNCO Course.</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ELDA Lead Teams is to be completed during the initial phase of the A1530 JNCO Course.</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ELDA Lead Teams is to be delivered prior to D03020 LDS Lead Teams, where that sequencing requirement remains current.</w:t>
      </w:r>
    </w:p>
    <w:p>
      <w:pPr>
        <w:pStyle w:val="Normal"/>
        <w:tabs>
          <w:tab w:val="clear" w:pos="720"/>
          <w:tab w:val="left" w:pos="397" w:leader="none"/>
        </w:tabs>
        <w:spacing w:before="60" w:after="40"/>
        <w:ind w:hanging="397" w:left="397"/>
        <w:rPr/>
      </w:pPr>
      <w:r>
        <w:rPr>
          <w:rFonts w:cs="Arial"/>
          <w:b w:val="false"/>
        </w:rPr>
        <w:t>4.</w:t>
        <w:tab/>
      </w:r>
      <w:r>
        <w:rPr>
          <w:rFonts w:cs="Arial"/>
          <w:b w:val="false"/>
          <w:i w:val="false"/>
        </w:rPr>
        <w:t>Due to the nature of ELDA activities and their inherent level of risk, the SI ELDA Wing is the authority for assigning appropriately qualified instructors. This forms part of the NZALC Safety Management Plan.</w:t>
      </w:r>
    </w:p>
    <w:p>
      <w:pPr>
        <w:pStyle w:val="Normal"/>
        <w:tabs>
          <w:tab w:val="clear" w:pos="720"/>
          <w:tab w:val="left" w:pos="397" w:leader="none"/>
        </w:tabs>
        <w:spacing w:before="60" w:after="40"/>
        <w:ind w:hanging="397" w:left="397"/>
        <w:rPr/>
      </w:pPr>
      <w:r>
        <w:rPr>
          <w:rFonts w:cs="Arial"/>
          <w:b w:val="false"/>
        </w:rPr>
        <w:t>5.</w:t>
        <w:tab/>
      </w:r>
      <w:r>
        <w:rPr>
          <w:rFonts w:cs="Arial"/>
          <w:b w:val="false"/>
          <w:i w:val="false"/>
        </w:rPr>
        <w:t>The Learning Provider is the New Zealand Army Leadership Centre (NZALC).</w:t>
      </w:r>
    </w:p>
    <w:p>
      <w:pPr>
        <w:pStyle w:val="Normal"/>
        <w:tabs>
          <w:tab w:val="clear" w:pos="720"/>
          <w:tab w:val="left" w:pos="397" w:leader="none"/>
        </w:tabs>
        <w:spacing w:before="60" w:after="40"/>
        <w:ind w:hanging="397" w:left="397"/>
        <w:rPr/>
      </w:pPr>
      <w:r>
        <w:rPr>
          <w:rFonts w:cs="Arial"/>
          <w:b w:val="false"/>
        </w:rPr>
        <w:t>6.</w:t>
        <w:tab/>
      </w:r>
      <w:r>
        <w:rPr>
          <w:rFonts w:cs="Arial"/>
          <w:b w:val="false"/>
          <w:i w:val="false"/>
        </w:rPr>
        <w:t>Learning and individual development identified during ELDA Lead Teams should be carried forward through subsequent A1530 learning activities to support continued reflection and deliberate leadership development.</w:t>
      </w:r>
    </w:p>
    <w:p>
      <w:pPr>
        <w:pStyle w:val="Heading1"/>
        <w:rPr/>
      </w:pPr>
      <w:r>
        <w:rPr>
          <w:rFonts w:cs="Arial"/>
          <w:b/>
          <w:i w:val="false"/>
          <w:color w:val="002516"/>
          <w:sz w:val="24"/>
        </w:rPr>
        <w:t>Course Structure</w:t>
      </w:r>
    </w:p>
    <w:p>
      <w:pPr>
        <w:pStyle w:val="Normal"/>
        <w:keepNext w:val="true"/>
        <w:spacing w:before="160" w:after="60"/>
        <w:rPr/>
      </w:pPr>
      <w:r>
        <w:rPr>
          <w:rFonts w:cs="Arial"/>
          <w:b/>
          <w:i w:val="false"/>
          <w:color w:val="002516"/>
          <w:sz w:val="21"/>
        </w:rPr>
        <w:t>COG 1: Experiential Leadership Development</w:t>
      </w:r>
    </w:p>
    <w:p>
      <w:pPr>
        <w:pStyle w:val="Normal"/>
        <w:keepNext w:val="true"/>
        <w:spacing w:before="120" w:after="60"/>
        <w:rPr/>
      </w:pPr>
      <w:r>
        <w:rPr>
          <w:rFonts w:cs="Arial"/>
          <w:b/>
          <w:i w:val="false"/>
          <w:color w:val="000000"/>
          <w:sz w:val="20"/>
        </w:rPr>
        <w:t>LO 1.1: Apply strategies to maintain effective performance under pressure</w:t>
      </w:r>
    </w:p>
    <w:p>
      <w:pPr>
        <w:pStyle w:val="Normal"/>
        <w:rPr/>
      </w:pPr>
      <w:r>
        <w:rPr>
          <w:rFonts w:cs="Arial"/>
          <w:b w:val="false"/>
          <w:i w:val="false"/>
        </w:rPr>
        <w:t>Learners apply appropriate self-management strategies to maintain effective individual performance when exposed to physical, cognitive and interpersonal pressure.</w:t>
      </w:r>
    </w:p>
    <w:p>
      <w:pPr>
        <w:pStyle w:val="Normal"/>
        <w:rPr/>
      </w:pPr>
      <w:r>
        <w:rPr>
          <w:rFonts w:cs="Arial"/>
          <w:b w:val="false"/>
          <w:i w:val="false"/>
        </w:rPr>
        <w:t>This encompasses the practical application of relevant performance-under-pressure tools and techniques rather than simply knowledge of those techniques.</w:t>
      </w:r>
    </w:p>
    <w:p>
      <w:pPr>
        <w:pStyle w:val="Normal"/>
        <w:keepNext w:val="true"/>
        <w:spacing w:before="120" w:after="60"/>
        <w:rPr/>
      </w:pPr>
      <w:r>
        <w:rPr>
          <w:rFonts w:cs="Arial"/>
          <w:b/>
          <w:i w:val="false"/>
          <w:color w:val="000000"/>
          <w:sz w:val="20"/>
        </w:rPr>
        <w:t>LO 1.2: Apply effective leadership behaviours within a small team under challenging conditions</w:t>
      </w:r>
    </w:p>
    <w:p>
      <w:pPr>
        <w:pStyle w:val="Normal"/>
        <w:rPr/>
      </w:pPr>
      <w:r>
        <w:rPr>
          <w:rFonts w:cs="Arial"/>
          <w:b w:val="false"/>
          <w:i w:val="false"/>
        </w:rPr>
        <w:t>Learners apply appropriate leadership behaviours while leading and contributing to a small team operating under physically, cognitively and interpersonally challenging conditions.</w:t>
      </w:r>
    </w:p>
    <w:p>
      <w:pPr>
        <w:pStyle w:val="Normal"/>
        <w:rPr/>
      </w:pPr>
      <w:r>
        <w:rPr>
          <w:rFonts w:cs="Arial"/>
          <w:b w:val="false"/>
          <w:i w:val="false"/>
        </w:rPr>
        <w:t>The experiential activity provides repeated opportunities for learners to lead, follow, influence others, make decisions and adapt their leadership behaviour under pressure.</w:t>
      </w:r>
    </w:p>
    <w:p>
      <w:pPr>
        <w:pStyle w:val="Normal"/>
        <w:keepNext w:val="true"/>
        <w:spacing w:before="120" w:after="60"/>
        <w:rPr/>
      </w:pPr>
      <w:r>
        <w:rPr>
          <w:rFonts w:cs="Arial"/>
          <w:b/>
          <w:i w:val="false"/>
          <w:color w:val="000000"/>
          <w:sz w:val="20"/>
        </w:rPr>
        <w:t>LO 1.3: Evaluate personal leadership performance and develop an individual leadership development plan</w:t>
      </w:r>
    </w:p>
    <w:p>
      <w:pPr>
        <w:pStyle w:val="Normal"/>
        <w:rPr/>
      </w:pPr>
      <w:r>
        <w:rPr>
          <w:rFonts w:cs="Arial"/>
          <w:b w:val="false"/>
          <w:i w:val="false"/>
        </w:rPr>
        <w:t>Learners critically reflect on their performance and leadership behaviours demonstrated throughout ELDA Lead Teams, identify strengths and areas for development, and develop an individual leadership development plan to support continued development throughout the A1530 JNCO Course and beyond.</w:t>
      </w:r>
    </w:p>
    <w:p>
      <w:pPr>
        <w:pStyle w:val="Normal"/>
        <w:widowControl/>
        <w:bidi w:val="0"/>
        <w:spacing w:lineRule="auto" w:line="268" w:before="0" w:after="100"/>
        <w:jc w:val="left"/>
        <w:rPr/>
      </w:pPr>
      <w:r>
        <w:rPr>
          <w:rFonts w:cs="Arial"/>
          <w:b w:val="false"/>
          <w:i w:val="false"/>
        </w:rPr>
        <w:t>The three LO titles are assessable as written. Enabling objectives, learning content, activities and the evidence required against each LO are defined in the syllabus, not in this data sheet.</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A18011 ELDA Lead Teams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3</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A18011 ELDA Lead Teams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3</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240" w:after="10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240" w:after="10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Pages>
  <Words>744</Words>
  <Characters>4608</Characters>
  <CharactersWithSpaces>5264</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2026-09-07T00:57:37Z</dcterms:modified>
  <cp:revision>2</cp:revision>
  <dc:subject/>
  <dc:title>A18011 ELDA Lead Teams</dc:title>
</cp:coreProperties>
</file>

<file path=docProps/custom.xml><?xml version="1.0" encoding="utf-8"?>
<Properties xmlns="http://schemas.openxmlformats.org/officeDocument/2006/custom-properties" xmlns:vt="http://schemas.openxmlformats.org/officeDocument/2006/docPropsVTypes"/>
</file>