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v0.7</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73_16472511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75_16472511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77_16472511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79_164725115">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81_16472511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83_164725115">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85_164725115">
            <w:r>
              <w:rPr>
                <w:webHidden/>
                <w:rStyle w:val="IndexLink"/>
                <w:i w:val="false"/>
              </w:rPr>
              <w:t>5. Governance</w:t>
            </w:r>
            <w:r>
              <w:rPr>
                <w:rStyle w:val="IndexLink"/>
              </w:rPr>
              <w:tab/>
              <w:t>8</w:t>
            </w:r>
          </w:hyperlink>
        </w:p>
        <w:p>
          <w:pPr>
            <w:pStyle w:val="TOC1"/>
            <w:tabs>
              <w:tab w:val="clear" w:pos="9072"/>
              <w:tab w:val="right" w:pos="9071" w:leader="dot"/>
            </w:tabs>
            <w:rPr/>
          </w:pPr>
          <w:hyperlink w:anchor="__RefHeading___Toc387_164725115">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389_164725115">
            <w:r>
              <w:rPr>
                <w:webHidden/>
                <w:rStyle w:val="IndexLink"/>
                <w:i w:val="false"/>
              </w:rPr>
              <w:t>Foundation documents</w:t>
            </w:r>
            <w:r>
              <w:rPr>
                <w:rStyle w:val="IndexLink"/>
              </w:rPr>
              <w:tab/>
              <w:t>10</w:t>
            </w:r>
          </w:hyperlink>
        </w:p>
        <w:p>
          <w:pPr>
            <w:pStyle w:val="TOC1"/>
            <w:tabs>
              <w:tab w:val="clear" w:pos="9072"/>
              <w:tab w:val="right" w:pos="9071" w:leader="dot"/>
            </w:tabs>
            <w:rPr/>
          </w:pPr>
          <w:hyperlink w:anchor="__RefHeading___Toc391_164725115">
            <w:r>
              <w:rPr>
                <w:webHidden/>
                <w:rStyle w:val="IndexLink"/>
                <w:i w:val="false"/>
              </w:rPr>
              <w:t>Annex A — Interim governance and division of functions</w:t>
            </w:r>
            <w:r>
              <w:rPr>
                <w:rStyle w:val="IndexLink"/>
              </w:rPr>
              <w:tab/>
              <w:t>10</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73_164725115"/>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75_16472511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77_164725115"/>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 being in active use and despite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w:t>
      </w:r>
    </w:p>
    <w:p>
      <w:pPr>
        <w:pStyle w:val="Normal"/>
        <w:rPr/>
      </w:pPr>
      <w:r>
        <w:rPr>
          <w:rFonts w:cs="Book Antiqua"/>
          <w:b w:val="false"/>
          <w:i w:val="false"/>
        </w:rPr>
        <w:t>Sufficient evidence and existing capability are available to commence governance, the capability stocktake and framework development immediately. The present gap is not a lack of content; it is a lack of common language, clear ownership and assurance across what already exists.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79_164725115"/>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persistently, adaptively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81_164725115"/>
      <w:bookmarkEnd w:id="4"/>
      <w:r>
        <w:rPr>
          <w:rFonts w:cs="Arial" w:ascii="Arial" w:hAnsi="Arial"/>
          <w:b/>
          <w:i w:val="false"/>
          <w:color w:val="002516"/>
          <w:sz w:val="28"/>
        </w:rPr>
        <w:t>3. What already exists</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83_164725115"/>
      <w:bookmarkEnd w:id="5"/>
      <w:r>
        <w:rPr>
          <w:rFonts w:cs="Arial" w:ascii="Arial" w:hAnsi="Arial"/>
          <w:b/>
          <w:i w:val="false"/>
          <w:color w:val="002516"/>
          <w:sz w:val="28"/>
        </w:rPr>
        <w:t>4. Proposed programme of work</w:t>
      </w:r>
    </w:p>
    <w:p>
      <w:pPr>
        <w:pStyle w:val="Heading2"/>
        <w:rPr/>
      </w:pPr>
      <w:r>
        <w:rPr>
          <w:rFonts w:cs="Arial" w:ascii="Arial" w:hAnsi="Arial"/>
          <w:b/>
          <w:i w:val="false"/>
          <w:color w:val="000000"/>
          <w:sz w:val="22"/>
        </w:rPr>
        <w:t>Phase 0: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 2026)</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 2026)</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(September 2026)</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85_164725115"/>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87_164725115"/>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389_164725115"/>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391_164725115"/>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9</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10</Pages>
  <Words>2457</Words>
  <Characters>15967</Characters>
  <CharactersWithSpaces>18288</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2026-07-23T08:53:40Z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