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5_3287448013">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7_3287448013">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89_3287448013">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1_3287448013">
            <w:r>
              <w:rPr>
                <w:webHidden/>
                <w:rStyle w:val="IndexLink"/>
                <w:i w:val="false"/>
              </w:rPr>
              <w:t>2. Terminology and definitions: decision sought</w:t>
            </w:r>
            <w:r>
              <w:rPr>
                <w:rStyle w:val="IndexLink"/>
              </w:rPr>
              <w:tab/>
              <w:t>5</w:t>
            </w:r>
          </w:hyperlink>
        </w:p>
        <w:p>
          <w:pPr>
            <w:pStyle w:val="TOC1"/>
            <w:tabs>
              <w:tab w:val="clear" w:pos="9072"/>
              <w:tab w:val="right" w:pos="9071" w:leader="dot"/>
            </w:tabs>
            <w:rPr/>
          </w:pPr>
          <w:hyperlink w:anchor="__RefHeading___Toc393_3287448013">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5_3287448013">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7_3287448013">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399_3287448013">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1_3287448013">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3_3287448013">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5_3287448013"/>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7_3287448013"/>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Combat Mindset Framework as the organising system,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Combat Mindset Framework. The definitions are a drafting baseline; the capability pillars are provisional; the Phase 2 assessment and Phase 4 validation will confirm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89_3287448013"/>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(notably by NZDF Psychology)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assessment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1_3287448013"/>
      <w:bookmarkEnd w:id="3"/>
      <w:r>
        <w:rPr>
          <w:rFonts w:cs="Arial" w:ascii="Arial" w:hAnsi="Arial"/>
          <w:b/>
          <w:i w:val="false"/>
          <w:color w:val="002516"/>
          <w:sz w:val="28"/>
        </w:rPr>
        <w:t>2. Terminology and definitions: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3_3287448013"/>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(a single organising framework beneath which existing products are nested and assured) is consistent with that direction.</w:t>
      </w:r>
    </w:p>
    <w:p>
      <w:pPr>
        <w:pStyle w:val="Normal"/>
        <w:rPr/>
      </w:pPr>
      <w:r>
        <w:rPr>
          <w:rFonts w:cs="Book Antiqua"/>
          <w:b w:val="false"/>
          <w:i w:val="false"/>
        </w:rPr>
        <w:t>A full assessment of existing capability and products will be completed during Phase 2.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5_3287448013"/>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1: Define and govern (on endorsement of this paper; target mid-August 2026) (ACS) [proposed – confirm]</w:t>
      </w:r>
    </w:p>
    <w:p>
      <w:pPr>
        <w:pStyle w:val="Normal"/>
        <w:rPr/>
      </w:pPr>
      <w:r>
        <w:rPr>
          <w:rFonts w:cs="Book Antiqua"/>
          <w:b w:val="false"/>
          <w:i w:val="false"/>
        </w:rPr>
        <w:t>Confirm terminology, governance, roles and responsibilities: endorse the problem statement, select the terminology option at paragraph 2, confirm interim sponsorship and capability-integration arrangements, and draft for staffing the endorsed definitions of Combat Mindset, Performance Under Pressure and the Combat Mindset Framework, together with the agreed relationship between the three.</w:t>
      </w:r>
    </w:p>
    <w:p>
      <w:pPr>
        <w:pStyle w:val="Heading2"/>
        <w:rPr/>
      </w:pPr>
      <w:r>
        <w:rPr>
          <w:rFonts w:cs="Arial" w:ascii="Arial" w:hAnsi="Arial"/>
          <w:b/>
          <w:i w:val="false"/>
          <w:color w:val="000000"/>
          <w:sz w:val="22"/>
        </w:rPr>
        <w:t>Phase 2: Understand (August–September 2026) (NZALC lead, HPC support) [proposed – confirm]</w:t>
      </w:r>
    </w:p>
    <w:p>
      <w:pPr>
        <w:pStyle w:val="Normal"/>
        <w:rPr/>
      </w:pPr>
      <w:r>
        <w:rPr>
          <w:rFonts w:cs="Book Antiqua"/>
          <w:b w:val="false"/>
          <w:i w:val="false"/>
        </w:rPr>
        <w:t>Assess existing doctrine, content, products, courses, instructor capability, delivery activity, evidence, ownership and assurance arrangements across ACS, NZALC, HPC, NZDF Psychology, ILD, training establishments and selected units. The assessment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assessment will identify which products contribute to the broader Performance Under Pressure capability and which support its combat-specific expression, using the combat-specificity test at paragraph 2. COGCON will be assessed as one developmental product within this assessment, with particular attention to its product boundary, evidence base (including its completed feasibility trials in live military training), ownership, workforce requirements and scalability.</w:t>
      </w:r>
    </w:p>
    <w:p>
      <w:pPr>
        <w:pStyle w:val="Heading2"/>
        <w:rPr/>
      </w:pPr>
      <w:r>
        <w:rPr>
          <w:rFonts w:cs="Arial" w:ascii="Arial" w:hAnsi="Arial"/>
          <w:b/>
          <w:i w:val="false"/>
          <w:color w:val="000000"/>
          <w:sz w:val="22"/>
        </w:rPr>
        <w:t>Phase 3: Design (September–October 2026) (NZALC/HPC joint) [proposed – confirm]</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framework will include the endorsed definitions and desired operational effect; the provisional capability pillars, refined through the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subject to validation through the Phase 2 assessment and Phase 4 validation. Each describes an enduring capability Army seeks to build.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4: Validate (October 2026) (ACS convenes) [proposed – confirm]</w:t>
      </w:r>
    </w:p>
    <w:p>
      <w:pPr>
        <w:pStyle w:val="Normal"/>
        <w:rPr/>
      </w:pPr>
      <w:r>
        <w:rPr>
          <w:rFonts w:cs="Book Antiqua"/>
          <w:b w:val="false"/>
          <w:i w:val="false"/>
        </w:rPr>
        <w:t>Refine the framework with key stakeholders and conduct bounded pilots: 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5: Implement (November 2026) (ACS) [proposed – confirm]</w:t>
      </w:r>
    </w:p>
    <w:p>
      <w:pPr>
        <w:pStyle w:val="Normal"/>
        <w:rPr/>
      </w:pPr>
      <w:r>
        <w:rPr>
          <w:rFonts w:cs="Book Antiqua"/>
          <w:b w:val="false"/>
          <w:i w:val="false"/>
        </w:rPr>
        <w:t>Deliver the framework for approval and implementation: 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7_3287448013"/>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399_3287448013"/>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Performance Under Pressure package, COGCON and NZDF Psychology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1_3287448013"/>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2 assessment.</w:t>
      </w:r>
    </w:p>
    <w:p>
      <w:pPr>
        <w:pStyle w:val="Heading1"/>
        <w:pBdr>
          <w:left w:val="single" w:sz="24" w:space="8" w:color="C62026"/>
        </w:pBdr>
        <w:rPr/>
      </w:pPr>
      <w:bookmarkStart w:id="9" w:name="__RefHeading___Toc403_3287448013"/>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2644</Words>
  <Characters>17169</Characters>
  <CharactersWithSpaces>19648</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2026-08-05T02:14:08Z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