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Combat Mindset — 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v0.6</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48_3589879323">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50_3589879323">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52_3589879323">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54_3589879323">
            <w:r>
              <w:rPr>
                <w:webHidden/>
                <w:rStyle w:val="IndexLink"/>
                <w:i w:val="false"/>
              </w:rPr>
              <w:t>2. Terminology and definitions — decision sought</w:t>
            </w:r>
            <w:r>
              <w:rPr>
                <w:rStyle w:val="IndexLink"/>
              </w:rPr>
              <w:tab/>
              <w:t>4</w:t>
            </w:r>
          </w:hyperlink>
        </w:p>
        <w:p>
          <w:pPr>
            <w:pStyle w:val="TOC1"/>
            <w:tabs>
              <w:tab w:val="clear" w:pos="9072"/>
              <w:tab w:val="right" w:pos="9071" w:leader="dot"/>
            </w:tabs>
            <w:rPr/>
          </w:pPr>
          <w:hyperlink w:anchor="__RefHeading___Toc356_3589879323">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58_3589879323">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60_3589879323">
            <w:r>
              <w:rPr>
                <w:webHidden/>
                <w:rStyle w:val="IndexLink"/>
                <w:i w:val="false"/>
              </w:rPr>
              <w:t>5. Governance</w:t>
            </w:r>
            <w:r>
              <w:rPr>
                <w:rStyle w:val="IndexLink"/>
              </w:rPr>
              <w:tab/>
              <w:t>8</w:t>
            </w:r>
          </w:hyperlink>
        </w:p>
        <w:p>
          <w:pPr>
            <w:pStyle w:val="TOC1"/>
            <w:tabs>
              <w:tab w:val="clear" w:pos="9072"/>
              <w:tab w:val="right" w:pos="9071" w:leader="dot"/>
            </w:tabs>
            <w:rPr/>
          </w:pPr>
          <w:hyperlink w:anchor="__RefHeading___Toc362_3589879323">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364_3589879323">
            <w:r>
              <w:rPr>
                <w:webHidden/>
                <w:rStyle w:val="IndexLink"/>
                <w:i w:val="false"/>
              </w:rPr>
              <w:t>Annex A — Initial capability and product architecture</w:t>
            </w:r>
            <w:r>
              <w:rPr>
                <w:rStyle w:val="IndexLink"/>
              </w:rPr>
              <w:tab/>
              <w:t>10</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348_3589879323"/>
      <w:bookmarkEnd w:id="0"/>
      <w:r>
        <w:rPr>
          <w:rFonts w:cs="Arial" w:ascii="Arial" w:hAnsi="Arial"/>
          <w:b/>
          <w:i w:val="false"/>
          <w:color w:val="002516"/>
          <w:sz w:val="28"/>
        </w:rPr>
        <w:t>The Model on a Page</w:t>
      </w:r>
    </w:p>
    <w:p>
      <w:pPr>
        <w:pStyle w:val="Normal"/>
        <w:jc w:val="center"/>
        <w:rPr/>
      </w:pPr>
      <w:r>
        <w:rPr/>
        <w:drawing>
          <wp:inline distT="0" distB="0" distL="0" distR="0">
            <wp:extent cx="5544185" cy="75653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544185" cy="7565390"/>
                    </a:xfrm>
                    <a:prstGeom prst="rect">
                      <a:avLst/>
                    </a:prstGeom>
                  </pic:spPr>
                </pic:pic>
              </a:graphicData>
            </a:graphic>
          </wp:inline>
        </w:drawing>
      </w:r>
    </w:p>
    <w:p>
      <w:pPr>
        <w:pStyle w:val="Normal"/>
        <w:rPr/>
      </w:pPr>
      <w:r>
        <w:rPr/>
      </w:r>
      <w:r>
        <w:br w:type="page"/>
      </w:r>
    </w:p>
    <w:p>
      <w:pPr>
        <w:pStyle w:val="Heading1"/>
        <w:pBdr>
          <w:left w:val="single" w:sz="24" w:space="8" w:color="C62026"/>
        </w:pBdr>
        <w:spacing w:before="0" w:after="160"/>
        <w:rPr/>
      </w:pPr>
      <w:bookmarkStart w:id="1" w:name="__RefHeading___Toc350_3589879323"/>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appropriate nesting of existing training products beneath the framework.</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52_3589879323"/>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 being in active use and despite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w:t>
      </w:r>
    </w:p>
    <w:p>
      <w:pPr>
        <w:pStyle w:val="Normal"/>
        <w:rPr/>
      </w:pPr>
      <w:r>
        <w:rPr>
          <w:rFonts w:cs="Book Antiqua"/>
          <w:b w:val="false"/>
          <w:i w:val="false"/>
        </w:rPr>
        <w:t>Sufficient evidence and existing capability are available to commence governance, the capability stocktake and framework development immediately. The present gap is not a lack of content; it is a lack of common language, clear ownership and assurance across what already exists.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54_3589879323"/>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combat-specific expression of Performance Under Pressure. It describes the individual and collective readiness and disposition Army seeks under the threat, adversity and uncertainty of combat.</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combat-specific expression of Performance Under Pressure: the individual and collective readiness and disposition to remain effective and act decisively, persistently, adaptively and ethically under the threat, adversity and uncertainty of combat in order to achieve the mission.</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Harder to Kill remains a proposed Warfighter Focus tagline, subject to sponsor endorsement, and does not form part of the formal definitions.</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56_3589879323"/>
      <w:bookmarkEnd w:id="4"/>
      <w:r>
        <w:rPr>
          <w:rFonts w:cs="Arial" w:ascii="Arial" w:hAnsi="Arial"/>
          <w:b/>
          <w:i w:val="false"/>
          <w:color w:val="002516"/>
          <w:sz w:val="28"/>
        </w:rPr>
        <w:t>3. What already exists</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designed to train selected dimensions of performance cognition under physical and cognitive load: arousal regulation, attention, cognitive control, working memory, performance monitoring and self-knowledge. Its most mature and potentially scalable component is an adaptive dual-task training module combining a tablet-based cognitive task with a concurrent job-relevant information task, progressive difficulty and performance feedback.</w:t>
      </w:r>
    </w:p>
    <w:p>
      <w:pPr>
        <w:pStyle w:val="Normal"/>
        <w:rPr/>
      </w:pPr>
      <w:r>
        <w:rPr>
          <w:rFonts w:cs="Book Antiqua"/>
          <w:b w:val="false"/>
          <w:i w:val="false"/>
        </w:rPr>
        <w:t>COGCON has demonstrated feasibility, participant acceptability and promising training trends in limited military cohorts. It has not yet been validated as a measure of operational readiness or proven through controlled research to improve real-world military performance. Its current status is therefore that of an emerging, evidence-informed training product rather than an endorsed Army-wide capability system.</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58_3589879323"/>
      <w:bookmarkEnd w:id="5"/>
      <w:r>
        <w:rPr>
          <w:rFonts w:cs="Arial" w:ascii="Arial" w:hAnsi="Arial"/>
          <w:b/>
          <w:i w:val="false"/>
          <w:color w:val="002516"/>
          <w:sz w:val="28"/>
        </w:rPr>
        <w:t>4. Proposed programme of work</w:t>
      </w:r>
    </w:p>
    <w:p>
      <w:pPr>
        <w:pStyle w:val="Heading2"/>
        <w:rPr/>
      </w:pPr>
      <w:r>
        <w:rPr>
          <w:rFonts w:cs="Arial" w:ascii="Arial" w:hAnsi="Arial"/>
          <w:b/>
          <w:i w:val="false"/>
          <w:color w:val="000000"/>
          <w:sz w:val="22"/>
        </w:rPr>
        <w:t>Phase 0: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 2026)</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 2026)</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integrated capability pillars;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Existing products, including the NZALC Performance Under Pressure package and COGCON, will be mapped beneath the relevant capability pillars rather than treated as the framework itself.</w:t>
      </w:r>
    </w:p>
    <w:p>
      <w:pPr>
        <w:pStyle w:val="Heading2"/>
        <w:rPr/>
      </w:pPr>
      <w:r>
        <w:rPr>
          <w:rFonts w:cs="Arial" w:ascii="Arial" w:hAnsi="Arial"/>
          <w:b/>
          <w:i w:val="false"/>
          <w:color w:val="000000"/>
          <w:sz w:val="22"/>
        </w:rPr>
        <w:t>Phase 3: Stakeholder forum (September 2026)</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map; the proposed governance and assurance model; and a prioritised implementation plan. The report will identify whether COGCON should remain a developmental product; undergo further controlled evaluation; be integrated selectively into existing training; be prepared for broader scaling; or cease or change direction.</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60_3589879323"/>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coordinator — ACS, coordinating the framework, developmental architecture and recognised training products,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62_3589879323"/>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w:t>
      </w:r>
    </w:p>
    <w:p>
      <w:pPr>
        <w:pStyle w:val="Normal"/>
        <w:keepNext w:val="true"/>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Combat Mindset as the combat-specific expression of Performance Under Pressure, and Performance Under Pressure as the enabling, trainable individual and collective human-performance capability.</w:t>
      </w:r>
    </w:p>
    <w:p>
      <w:pPr>
        <w:pStyle w:val="Normal"/>
        <w:keepNext w:val="true"/>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formal definitions at paragraph 2 as the baseline for staffing.</w:t>
      </w:r>
    </w:p>
    <w:p>
      <w:pPr>
        <w:pStyle w:val="Normal"/>
        <w:keepNext w:val="true"/>
        <w:tabs>
          <w:tab w:val="clear" w:pos="720"/>
          <w:tab w:val="left" w:pos="425" w:leader="none"/>
        </w:tabs>
        <w:spacing w:before="80" w:after="40"/>
        <w:ind w:hanging="425" w:left="425"/>
        <w:rPr/>
      </w:pPr>
      <w:r>
        <w:rPr>
          <w:rFonts w:cs="Arial" w:ascii="Arial" w:hAnsi="Arial"/>
          <w:b w:val="false"/>
        </w:rPr>
        <w:t>4.</w:t>
        <w:tab/>
      </w:r>
      <w:r>
        <w:rPr>
          <w:rFonts w:cs="Book Antiqua"/>
          <w:b/>
          <w:i w:val="false"/>
        </w:rPr>
        <w:t>Endorse</w:t>
      </w:r>
      <w:r>
        <w:rPr>
          <w:rFonts w:cs="Book Antiqua"/>
          <w:b w:val="false"/>
          <w:i w:val="false"/>
        </w:rPr>
        <w:t xml:space="preserve"> the Army Combat Mindset Framework as the organising model through which Army will define, develop, integrate and assure the capabilities, products and governance arrangements that enable Combat Mindset.</w:t>
      </w:r>
    </w:p>
    <w:p>
      <w:pPr>
        <w:pStyle w:val="Normal"/>
        <w:keepNext w:val="true"/>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existing programmes and products will be mapped beneath the framework's capability pillars and will not constitute the framework in isolation.</w:t>
      </w:r>
    </w:p>
    <w:p>
      <w:pPr>
        <w:pStyle w:val="Normal"/>
        <w:keepNext w:val="true"/>
        <w:tabs>
          <w:tab w:val="clear" w:pos="720"/>
          <w:tab w:val="left" w:pos="425" w:leader="none"/>
        </w:tabs>
        <w:spacing w:before="80" w:after="40"/>
        <w:ind w:hanging="425" w:left="425"/>
        <w:rPr/>
      </w:pPr>
      <w:r>
        <w:rPr>
          <w:rFonts w:cs="Arial" w:ascii="Arial" w:hAnsi="Arial"/>
          <w:b w:val="false"/>
        </w:rPr>
        <w:t>6.</w:t>
        <w:tab/>
      </w:r>
      <w:r>
        <w:rPr>
          <w:rFonts w:cs="Book Antiqua"/>
          <w:b/>
          <w:i w:val="false"/>
        </w:rPr>
        <w:t>Endorse</w:t>
      </w:r>
      <w:r>
        <w:rPr>
          <w:rFonts w:cs="Book Antiqua"/>
          <w:b w:val="false"/>
          <w:i w:val="false"/>
        </w:rPr>
        <w:t xml:space="preserve"> COGCON's interim status as a developmental product within the performance-cognition pillar.</w:t>
      </w:r>
    </w:p>
    <w:p>
      <w:pPr>
        <w:pStyle w:val="Normal"/>
        <w:keepNext w:val="true"/>
        <w:tabs>
          <w:tab w:val="clear" w:pos="720"/>
          <w:tab w:val="left" w:pos="425" w:leader="none"/>
        </w:tabs>
        <w:spacing w:before="80" w:after="40"/>
        <w:ind w:hanging="425" w:left="425"/>
        <w:rPr/>
      </w:pPr>
      <w:r>
        <w:rPr>
          <w:rFonts w:cs="Arial" w:ascii="Arial" w:hAnsi="Arial"/>
          <w:b w:val="false"/>
        </w:rPr>
        <w:t>7.</w:t>
        <w:tab/>
      </w:r>
      <w:r>
        <w:rPr>
          <w:rFonts w:cs="Book Antiqua"/>
          <w:b/>
          <w:i w:val="false"/>
        </w:rPr>
        <w:t>Confirm</w:t>
      </w:r>
      <w:r>
        <w:rPr>
          <w:rFonts w:cs="Book Antiqua"/>
          <w:b w:val="false"/>
          <w:i w:val="false"/>
        </w:rPr>
        <w:t xml:space="preserve"> the governance model at paragraph 5, including COMDT ACS as interim capability integrator pending confirmation of the Army Sponsor, and HPC as COGCON product steward and performance-cognition adviser.</w:t>
      </w:r>
    </w:p>
    <w:p>
      <w:pPr>
        <w:pStyle w:val="Normal"/>
        <w:keepNext w:val="true"/>
        <w:tabs>
          <w:tab w:val="clear" w:pos="720"/>
          <w:tab w:val="left" w:pos="425" w:leader="none"/>
        </w:tabs>
        <w:spacing w:before="80" w:after="40"/>
        <w:ind w:hanging="425" w:left="425"/>
        <w:rPr/>
      </w:pPr>
      <w:r>
        <w:rPr>
          <w:rFonts w:cs="Arial" w:ascii="Arial" w:hAnsi="Arial"/>
          <w:b w:val="false"/>
        </w:rPr>
        <w:t>8.</w:t>
        <w:tab/>
      </w:r>
      <w:r>
        <w:rPr>
          <w:rFonts w:cs="Book Antiqua"/>
          <w:b/>
          <w:i w:val="false"/>
        </w:rPr>
        <w:t>Approve</w:t>
      </w:r>
      <w:r>
        <w:rPr>
          <w:rFonts w:cs="Book Antiqua"/>
          <w:b w:val="false"/>
          <w:i w:val="false"/>
        </w:rPr>
        <w:t xml:space="preserve"> the programme of work at paragraph 4, including the capability and product stocktake, framework development and stakeholder engagement.</w:t>
      </w:r>
    </w:p>
    <w:p>
      <w:pPr>
        <w:pStyle w:val="Normal"/>
        <w:keepNext w:val="true"/>
        <w:tabs>
          <w:tab w:val="clear" w:pos="720"/>
          <w:tab w:val="left" w:pos="425" w:leader="none"/>
        </w:tabs>
        <w:spacing w:before="80" w:after="40"/>
        <w:ind w:hanging="425" w:left="425"/>
        <w:rPr/>
      </w:pPr>
      <w:r>
        <w:rPr>
          <w:rFonts w:cs="Arial" w:ascii="Arial" w:hAnsi="Arial"/>
          <w:b w:val="false"/>
        </w:rPr>
        <w:t>9.</w:t>
        <w:tab/>
      </w:r>
      <w:r>
        <w:rPr>
          <w:rFonts w:cs="Book Antiqua"/>
          <w:b/>
          <w:i w:val="false"/>
        </w:rPr>
        <w:t>Direct</w:t>
      </w:r>
      <w:r>
        <w:rPr>
          <w:rFonts w:cs="Book Antiqua"/>
          <w:b w:val="false"/>
          <w:i w:val="false"/>
        </w:rPr>
        <w:t xml:space="preserve"> that the November 2026 report provide the endorsed definitions and confirmed relationship between Combat Mindset and Performance Under Pressure; Framework v1.0 and its agreed architecture; the validated capability and product map; a governance and assurance model; an assessment of COGCON's evidence, scalability, resource requirements and appropriate future role; and a prioritised implementation plan.</w:t>
      </w:r>
    </w:p>
    <w:p>
      <w:pPr>
        <w:pStyle w:val="Normal"/>
        <w:rPr/>
      </w:pPr>
      <w:r>
        <w:rPr/>
      </w:r>
      <w:r>
        <w:br w:type="page"/>
      </w:r>
    </w:p>
    <w:p>
      <w:pPr>
        <w:pStyle w:val="Heading1"/>
        <w:pBdr>
          <w:left w:val="single" w:sz="24" w:space="8" w:color="C62026"/>
        </w:pBdr>
        <w:spacing w:before="0" w:after="160"/>
        <w:rPr/>
      </w:pPr>
      <w:bookmarkStart w:id="8" w:name="__RefHeading___Toc364_3589879323"/>
      <w:bookmarkEnd w:id="8"/>
      <w:r>
        <w:rPr>
          <w:rFonts w:cs="Arial" w:ascii="Arial" w:hAnsi="Arial"/>
          <w:b/>
          <w:i w:val="false"/>
          <w:color w:val="002516"/>
          <w:sz w:val="28"/>
        </w:rPr>
        <w:t>Annex A — Initial capability and product architecture</w:t>
      </w:r>
    </w:p>
    <w:p>
      <w:pPr>
        <w:pStyle w:val="Heading2"/>
        <w:rPr/>
      </w:pPr>
      <w:r>
        <w:rPr>
          <w:rFonts w:cs="Arial" w:ascii="Arial" w:hAnsi="Arial"/>
          <w:b/>
          <w:i w:val="false"/>
          <w:color w:val="000000"/>
          <w:sz w:val="22"/>
        </w:rPr>
        <w:t>A1. Doctrinal hierarchy</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Hierarchy</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Composition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Warfighting imperative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Individuals, teams and leaders remain effective and act decisively, persistently, adaptively and ethically under combat conditions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Combat-specific expression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 Mindset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Enabling human-performance capability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Under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Organising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Combat Mindset Framework</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pillars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Leadership; mental skills; performance cognition; resilience and recovery; physical performance; professional identity and values; individual and collective exposure to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Training products and methods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 Performance Under Pressure package; COGCON; NZDF Psychology products; scenario and experiential training; physical conditioning; structured reflection and recovery; other products identified during the Phase 1 stocktake</w:t>
            </w:r>
          </w:p>
        </w:tc>
      </w:tr>
    </w:tbl>
    <w:p>
      <w:pPr>
        <w:pStyle w:val="Normal"/>
        <w:spacing w:before="0" w:after="160"/>
        <w:rPr/>
      </w:pPr>
      <w:r>
        <w:rPr/>
      </w:r>
    </w:p>
    <w:p>
      <w:pPr>
        <w:pStyle w:val="Normal"/>
        <w:pBdr>
          <w:left w:val="single" w:sz="28" w:space="8" w:color="C62026"/>
        </w:pBdr>
        <w:shd w:val="clear" w:color="auto" w:fill="CDD2B7"/>
        <w:spacing w:before="200" w:after="200"/>
        <w:ind w:left="340" w:right="340"/>
        <w:rPr/>
      </w:pPr>
      <w:r>
        <w:rPr>
          <w:rFonts w:cs="Arial" w:ascii="Arial" w:hAnsi="Arial"/>
          <w:b/>
          <w:i w:val="false"/>
        </w:rPr>
        <w:t>Warfighting imperative → Combat Mindset → enabled by Performance Under Pressure → developed and organised through the Army Combat Mindset Framework → delivered through capability pillars, products and methods</w:t>
      </w:r>
    </w:p>
    <w:p>
      <w:pPr>
        <w:pStyle w:val="Heading2"/>
        <w:rPr/>
      </w:pPr>
      <w:r>
        <w:rPr>
          <w:rFonts w:cs="Arial" w:ascii="Arial" w:hAnsi="Arial"/>
          <w:b/>
          <w:i w:val="false"/>
          <w:color w:val="000000"/>
          <w:sz w:val="22"/>
        </w:rPr>
        <w:t>A2. Division of functions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Output</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Define and govern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Sponsor / 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Endorsed doctrine, definitions, policy direction and capability outcomes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Integrate capability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Framework, product architecture, stakeholder coordination and implementation priorities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 products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product owner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design, protocols, instructor materials and updates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Provide domain advice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technical or professional adviser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Specialist advice within leadership, psychology, cognition, learning design, physical performance and other domains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Approved training establishments, units and existing instructor workforces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Routine delivery of recognised products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 training performance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Delivery organisation, using approved methods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Proportionate training feedback and product-level performance data</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Evaluate product effectiveness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owner, with independent evaluation or research support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Evidence of feasibility, effectiveness, transfer and scalability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Layered governance and domain authorities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Doctrine, evidence, professional, learning, delivery and operational assurance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leadership and training systems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Reflection, feedback, recovery and developmental planning</w:t>
            </w:r>
          </w:p>
        </w:tc>
      </w:tr>
    </w:tbl>
    <w:p>
      <w:pPr>
        <w:pStyle w:val="Normal"/>
        <w:spacing w:before="0" w:after="16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2290</Words>
  <Characters>15075</Characters>
  <CharactersWithSpaces>17229</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2026-07-23T02:48:02Z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