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07_3139211550">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09_3139211550">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1_3139211550">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3_3139211550">
            <w:r>
              <w:rPr>
                <w:webHidden/>
                <w:rStyle w:val="IndexLink"/>
                <w:i w:val="false"/>
              </w:rPr>
              <w:t>2. Terminology and definitions</w:t>
            </w:r>
            <w:r>
              <w:rPr>
                <w:rStyle w:val="IndexLink"/>
              </w:rPr>
              <w:tab/>
              <w:t>5</w:t>
            </w:r>
          </w:hyperlink>
        </w:p>
        <w:p>
          <w:pPr>
            <w:pStyle w:val="TOC1"/>
            <w:tabs>
              <w:tab w:val="clear" w:pos="9072"/>
              <w:tab w:val="right" w:pos="9071" w:leader="dot"/>
            </w:tabs>
            <w:rPr/>
          </w:pPr>
          <w:hyperlink w:anchor="__RefHeading___Toc215_3139211550">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17_3139211550">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19_3139211550">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07_3139211550"/>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09_3139211550"/>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Phase 5 delivers the framework for approval and implementation.</w:t>
      </w:r>
    </w:p>
    <w:p>
      <w:pPr>
        <w:pStyle w:val="Normal"/>
        <w:rPr/>
      </w:pPr>
      <w:r>
        <w:rPr>
          <w:rFonts w:cs="Book Antiqua"/>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1_3139211550"/>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13_3139211550"/>
      <w:bookmarkEnd w:id="3"/>
      <w:r>
        <w:rPr>
          <w:rFonts w:cs="Arial" w:ascii="Arial" w:hAnsi="Arial"/>
          <w:b/>
          <w:i w:val="false"/>
          <w:color w:val="002516"/>
          <w:sz w:val="28"/>
        </w:rPr>
        <w:t>2. Terminology and definitions</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Army governs, develops, delivers and assures Performance Under Pressure and its combat-specific expression, Combat Mindset.</w:t>
      </w:r>
    </w:p>
    <w:p>
      <w:pPr>
        <w:pStyle w:val="Normal"/>
        <w:rPr/>
      </w:pPr>
      <w:r>
        <w:rPr>
          <w:rFonts w:cs="Book Antiqua"/>
          <w:b w:val="false"/>
          <w:i w:val="false"/>
        </w:rPr>
        <w:t>A product, method or activity is combat-specific where it develops or applies Performance Under Pressure in a context that represents or deliberately simulates the defining demands of combat: opposition or threat, significant consequence for mission or life, and ethical load. Products that do not represent these demands contribute to the enabling capability rather than its combat-specific expression.</w:t>
      </w:r>
    </w:p>
    <w:p>
      <w:pPr>
        <w:pStyle w:val="Normal"/>
        <w:spacing w:before="120" w:after="160"/>
        <w:ind w:left="567" w:right="567"/>
        <w:rPr/>
      </w:pPr>
      <w:r>
        <w:rPr>
          <w:rFonts w:cs="Book Antiqua"/>
          <w:b w:val="false"/>
          <w:i/>
        </w:rPr>
        <w:t>In summary, Performance Under Pressure is the trainable capability; Combat Mindset is its combat-specific expression.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Book Antiqua"/>
          <w:b/>
          <w:i w:val="false"/>
        </w:rPr>
        <w:t>Advantages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rPr/>
      </w:pPr>
      <w:r>
        <w:rPr>
          <w:rFonts w:cs="Book Antiqua"/>
          <w:b/>
          <w:i w:val="false"/>
        </w:rPr>
        <w:t>Limitations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15_3139211550"/>
      <w:bookmarkEnd w:id="4"/>
      <w:r>
        <w:rPr>
          <w:rFonts w:cs="Arial" w:ascii="Arial" w:hAnsi="Arial"/>
          <w:b/>
          <w:i w:val="false"/>
          <w:color w:val="002516"/>
          <w:sz w:val="28"/>
        </w:rPr>
        <w:t>3. What already exists</w:t>
      </w:r>
    </w:p>
    <w:p>
      <w:pPr>
        <w:pStyle w:val="Heading2"/>
        <w:rPr/>
      </w:pPr>
      <w:r>
        <w:rPr>
          <w:rFonts w:cs="Arial" w:ascii="Arial" w:hAnsi="Arial"/>
          <w:b/>
          <w:i w:val="false"/>
          <w:color w:val="000000"/>
          <w:sz w:val="22"/>
        </w:rPr>
        <w:t>Within ACS</w:t>
      </w:r>
    </w:p>
    <w:p>
      <w:pPr>
        <w:pStyle w:val="Normal"/>
        <w:rPr/>
      </w:pPr>
      <w:r>
        <w:rPr>
          <w:rFonts w:cs="Arial" w:ascii="Arial" w:hAnsi="Arial"/>
          <w:b/>
          <w:i w:val="false"/>
          <w:color w:val="002516"/>
          <w:sz w:val="20"/>
        </w:rPr>
        <w:t>NZALC Leadership Development System</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ascii="Arial" w:hAnsi="Arial"/>
          <w:b/>
          <w:i w:val="false"/>
          <w:color w:val="002516"/>
          <w:sz w:val="20"/>
        </w:rPr>
        <w:t>HPC Cognitive Conditioning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Outside ACS</w:t>
      </w:r>
    </w:p>
    <w:p>
      <w:pPr>
        <w:pStyle w:val="Normal"/>
        <w:rPr/>
      </w:pPr>
      <w:r>
        <w:rPr>
          <w:rFonts w:cs="Arial" w:ascii="Arial" w:hAnsi="Arial"/>
          <w:b/>
          <w:i w:val="false"/>
          <w:color w:val="002516"/>
          <w:sz w:val="20"/>
        </w:rPr>
        <w:t>Army Psychology Services (APS),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nested. It will not require identical internal methodologies, provided products align to the endorsed framework, outcomes and assurance requirements.</w:t>
      </w:r>
    </w:p>
    <w:p>
      <w:pPr>
        <w:pStyle w:val="Normal"/>
        <w:rPr/>
      </w:pPr>
      <w:r>
        <w:rPr>
          <w:rFonts w:cs="Book Antiqua"/>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17_3139211550"/>
      <w:bookmarkEnd w:id="5"/>
      <w:r>
        <w:rPr>
          <w:rFonts w:cs="Arial" w:ascii="Arial" w:hAnsi="Arial"/>
          <w:b/>
          <w:i w:val="false"/>
          <w:color w:val="002516"/>
          <w:sz w:val="28"/>
        </w:rPr>
        <w:t>4. Programme of work</w:t>
      </w:r>
    </w:p>
    <w:p>
      <w:pPr>
        <w:pStyle w:val="Normal"/>
        <w:rPr/>
      </w:pPr>
      <w:r>
        <w:rPr>
          <w:rFonts w:cs="Book Antiqua"/>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Book Antiqua"/>
          <w:b w:val="false"/>
          <w:i w:val="false"/>
        </w:rPr>
        <w:t>Phases may overlap where practical, however subsequent design decisions remain dependent upon the endorsed outputs of preceding phases.</w:t>
      </w:r>
    </w:p>
    <w:p>
      <w:pPr>
        <w:pStyle w:val="Heading2"/>
        <w:rPr/>
      </w:pPr>
      <w:r>
        <w:rPr>
          <w:rFonts w:cs="Arial" w:ascii="Arial" w:hAnsi="Arial"/>
          <w:b/>
          <w:i w:val="false"/>
          <w:color w:val="000000"/>
          <w:sz w:val="22"/>
        </w:rPr>
        <w:t>Phase 1: Define (September 2026)</w:t>
      </w:r>
    </w:p>
    <w:p>
      <w:pPr>
        <w:pStyle w:val="Normal"/>
        <w:rPr/>
      </w:pPr>
      <w:r>
        <w:rPr>
          <w:rFonts w:cs="Book Antiqua"/>
          <w:b w:val="false"/>
          <w:i w:val="false"/>
        </w:rPr>
        <w:t>Confirm terminology, governance, roles and responsibilities. Select the terminology option at paragraph 2 and draft the endorsed definitions and their relationship for staffing. Confirm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Book Antiqua"/>
          <w:b/>
          <w:i w:val="false"/>
        </w:rPr>
        <w:t>Key output.</w:t>
      </w:r>
      <w:r>
        <w:rPr>
          <w:rFonts w:cs="Book Antiqua"/>
          <w:b w:val="false"/>
          <w:i w:val="false"/>
        </w:rPr>
        <w:t xml:space="preserve"> Endorsed drafting baseline and confirmed interim governance.</w:t>
      </w:r>
    </w:p>
    <w:p>
      <w:pPr>
        <w:pStyle w:val="Heading2"/>
        <w:rPr/>
      </w:pPr>
      <w:r>
        <w:rPr>
          <w:rFonts w:cs="Arial" w:ascii="Arial" w:hAnsi="Arial"/>
          <w:b/>
          <w:i w:val="false"/>
          <w:color w:val="000000"/>
          <w:sz w:val="22"/>
        </w:rPr>
        <w:t>Phase 2: Understand (September 2026)</w:t>
      </w:r>
    </w:p>
    <w:p>
      <w:pPr>
        <w:pStyle w:val="Normal"/>
        <w:rPr/>
      </w:pPr>
      <w:r>
        <w:rPr>
          <w:rFonts w:cs="Book Antiqua"/>
          <w:b w:val="false"/>
          <w:i w:val="false"/>
        </w:rPr>
        <w:t>Assess existing doctrine, products, delivery and governance across ACS, NZALC, HPC, APS, ILD, training establishments and selected units against: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 and their 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Apply the combat-specificity test at paragraph 2 to distinguish products that contribute to the broader Performance Under Pressure capability from those that support its combat-specific expression. Assess COGCON as one developmental product, with particular attention to its product boundary, evidence base, ownership, workforce requirements and scalability.</w:t>
      </w:r>
    </w:p>
    <w:p>
      <w:pPr>
        <w:pStyle w:val="Normal"/>
        <w:rPr/>
      </w:pPr>
      <w:r>
        <w:rPr>
          <w:rFonts w:cs="Book Antiqua"/>
          <w:b/>
          <w:i w:val="false"/>
        </w:rPr>
        <w:t>Key output.</w:t>
      </w:r>
      <w:r>
        <w:rPr>
          <w:rFonts w:cs="Book Antiqua"/>
          <w:b w:val="false"/>
          <w:i w:val="false"/>
        </w:rPr>
        <w:t xml:space="preserve"> A capability and product baseline identifying holdings, gaps, duplication and integration opportunities.</w:t>
      </w:r>
    </w:p>
    <w:p>
      <w:pPr>
        <w:pStyle w:val="Heading2"/>
        <w:rPr/>
      </w:pPr>
      <w:r>
        <w:rPr>
          <w:rFonts w:cs="Arial" w:ascii="Arial" w:hAnsi="Arial"/>
          <w:b/>
          <w:i w:val="false"/>
          <w:color w:val="000000"/>
          <w:sz w:val="22"/>
        </w:rPr>
        <w:t>Phase 3: Design (October 2026)</w:t>
      </w:r>
    </w:p>
    <w:p>
      <w:pPr>
        <w:pStyle w:val="Normal"/>
        <w:rPr/>
      </w:pPr>
      <w:r>
        <w:rPr>
          <w:rFonts w:cs="Book Antiqua"/>
          <w:b w:val="false"/>
          <w:i w:val="false"/>
        </w:rPr>
        <w:t>Develop the Combat Mindset Framework, delivery system and outcomes: the organising system through which Army will govern, develop, deliver and assure Performance Under Pressure and its combat-specific expression. The design will establish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Book Antiqua"/>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operationally relevant performance, product quality and institutional adoption will be assessed.</w:t>
      </w:r>
    </w:p>
    <w:p>
      <w:pPr>
        <w:pStyle w:val="Normal"/>
        <w:rPr/>
      </w:pPr>
      <w:r>
        <w:rPr>
          <w:rFonts w:cs="Book Antiqua"/>
          <w:b/>
          <w:i w:val="false"/>
        </w:rPr>
        <w:t>Key output.</w:t>
      </w:r>
      <w:r>
        <w:rPr>
          <w:rFonts w:cs="Book Antiqua"/>
          <w:b w:val="false"/>
          <w:i w:val="false"/>
        </w:rPr>
        <w:t xml:space="preserve"> Draft Framework v1.0, comprising developmental outcomes, product architecture, governance arrangements and assurance criteria.</w:t>
      </w:r>
    </w:p>
    <w:p>
      <w:pPr>
        <w:pStyle w:val="Heading2"/>
        <w:rPr/>
      </w:pPr>
      <w:r>
        <w:rPr>
          <w:rFonts w:cs="Arial" w:ascii="Arial" w:hAnsi="Arial"/>
          <w:b/>
          <w:i w:val="false"/>
          <w:color w:val="000000"/>
          <w:sz w:val="22"/>
        </w:rPr>
        <w:t>Phase 4: Validate (November 2026)</w:t>
      </w:r>
    </w:p>
    <w:p>
      <w:pPr>
        <w:pStyle w:val="Normal"/>
        <w:rPr/>
      </w:pPr>
      <w:r>
        <w:rPr>
          <w:rFonts w:cs="Book Antiqua"/>
          <w:b w:val="false"/>
          <w:i w:val="false"/>
        </w:rPr>
        <w:t>Refine the framework with key stakeholders: convene ACS, NZALC, HPC, APS, ILD, selected training providers and units to test the framework, product architecture, governance model, implementation priorities, definition clarity and doctrinal coherence. Where time and unit availability permit, bounded pilots will be conducted within this phase or earlier alongside Phase 2 or Phase 3.</w:t>
      </w:r>
    </w:p>
    <w:p>
      <w:pPr>
        <w:pStyle w:val="Normal"/>
        <w:rPr/>
      </w:pPr>
      <w:r>
        <w:rPr>
          <w:rFonts w:cs="Book Antiqua"/>
          <w:b/>
          <w:i w:val="false"/>
        </w:rPr>
        <w:t>Key output.</w:t>
      </w:r>
      <w:r>
        <w:rPr>
          <w:rFonts w:cs="Book Antiqua"/>
          <w:b w:val="false"/>
          <w:i w:val="false"/>
        </w:rPr>
        <w:t xml:space="preserve"> A validated framework and product architecture, with stakeholder positions recorded.</w:t>
      </w:r>
    </w:p>
    <w:p>
      <w:pPr>
        <w:pStyle w:val="Heading2"/>
        <w:rPr/>
      </w:pPr>
      <w:r>
        <w:rPr>
          <w:rFonts w:cs="Arial" w:ascii="Arial" w:hAnsi="Arial"/>
          <w:b/>
          <w:i w:val="false"/>
          <w:color w:val="000000"/>
          <w:sz w:val="22"/>
        </w:rPr>
        <w:t>Phase 5: Implement (late November 2026)</w:t>
      </w:r>
    </w:p>
    <w:p>
      <w:pPr>
        <w:pStyle w:val="Normal"/>
        <w:rPr/>
      </w:pPr>
      <w:r>
        <w:rPr>
          <w:rFonts w:cs="Book Antiqua"/>
          <w:b w:val="false"/>
          <w:i w:val="false"/>
        </w:rPr>
        <w:t>Deliver the framework for approval and implementation: present to COMDT ACS the endorsed definitions and confirmed relationship; Framework v1.0 and its validated product architecture; the proposed governance and assurance model; and a prioritised implementation plan.</w:t>
      </w:r>
    </w:p>
    <w:p>
      <w:pPr>
        <w:pStyle w:val="Normal"/>
        <w:rPr/>
      </w:pPr>
      <w:r>
        <w:rPr>
          <w:rFonts w:cs="Book Antiqua"/>
          <w:b w:val="false"/>
          <w:i w:val="false"/>
        </w:rPr>
        <w:t>Framework v1.0 establishes the initial approved architecture and priority implementation activity. Further evidence development, product alignment and assurance maturity will continue through implementation.</w:t>
      </w:r>
    </w:p>
    <w:p>
      <w:pPr>
        <w:pStyle w:val="Normal"/>
        <w:rPr/>
      </w:pPr>
      <w:r>
        <w:rPr>
          <w:rFonts w:cs="Book Antiqua"/>
          <w:b/>
          <w:i w:val="false"/>
        </w:rPr>
        <w:t>Key output.</w:t>
      </w:r>
      <w:r>
        <w:rPr>
          <w:rFonts w:cs="Book Antiqua"/>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19_3139211550"/>
      <w:bookmarkEnd w:id="6"/>
      <w:r>
        <w:rPr>
          <w:rFonts w:cs="Arial" w:ascii="Arial" w:hAnsi="Arial"/>
          <w:b/>
          <w:i w:val="false"/>
          <w:color w:val="002516"/>
          <w:sz w:val="28"/>
        </w:rPr>
        <w:t>5.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Approve</w:t>
      </w:r>
      <w:r>
        <w:rPr>
          <w:rFonts w:cs="Book Antiqua"/>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Endorse</w:t>
      </w:r>
      <w:r>
        <w:rPr>
          <w:rFonts w:cs="Book Antiqua"/>
          <w:b w:val="false"/>
          <w:i w:val="false"/>
        </w:rPr>
        <w:t xml:space="preserve"> the initial working definitions of Combat Mindset, Performance Under Pressure and the Combat Mindset Framework.</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Approve</w:t>
      </w:r>
      <w:r>
        <w:rPr>
          <w:rFonts w:cs="Book Antiqua"/>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Note</w:t>
      </w:r>
      <w:r>
        <w:rPr>
          <w:rFonts w:cs="Book Antiqua"/>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1712</Words>
  <Characters>10924</Characters>
  <CharactersWithSpaces>12528</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2026-08-05T08:06:01Z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