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rPr/>
      </w:pPr>
      <w:r>
        <w:rPr/>
        <w:drawing>
          <wp:inline distT="0" distB="0" distL="0" distR="0">
            <wp:extent cx="1296035" cy="295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96035" cy="295910"/>
                    </a:xfrm>
                    <a:prstGeom prst="rect">
                      <a:avLst/>
                    </a:prstGeom>
                  </pic:spPr>
                </pic:pic>
              </a:graphicData>
            </a:graphic>
          </wp:inline>
        </w:drawing>
      </w:r>
    </w:p>
    <w:p>
      <w:pPr>
        <w:pStyle w:val="Normal"/>
        <w:spacing w:before="0" w:after="20"/>
        <w:rPr/>
      </w:pPr>
      <w:r>
        <w:rPr>
          <w:rFonts w:cs="Arial Black" w:ascii="Arial Black" w:hAnsi="Arial Black"/>
          <w:b w:val="false"/>
          <w:color w:val="000000"/>
          <w:sz w:val="33"/>
        </w:rPr>
        <w:t>Individual Training – Key Takeaways</w:t>
      </w:r>
    </w:p>
    <w:p>
      <w:pPr>
        <w:pStyle w:val="Normal"/>
        <w:pBdr>
          <w:bottom w:val="single" w:sz="18" w:space="8" w:color="D31145"/>
        </w:pBdr>
        <w:spacing w:before="0" w:after="80"/>
        <w:rPr/>
      </w:pPr>
      <w:r>
        <w:rPr>
          <w:rFonts w:cs="Calibri"/>
          <w:b/>
          <w:color w:val="00261B"/>
          <w:sz w:val="22"/>
        </w:rPr>
        <w:t>Adult Learning Principles in Defence Training, Sessions 1–5</w:t>
      </w:r>
    </w:p>
    <w:p>
      <w:pPr>
        <w:pStyle w:val="Normal"/>
        <w:pBdr>
          <w:bottom w:val="single" w:sz="6" w:space="6" w:color="B3A650"/>
        </w:pBdr>
        <w:spacing w:before="80" w:after="80"/>
        <w:rPr/>
      </w:pPr>
      <w:r>
        <w:rPr>
          <w:rFonts w:cs="Calibri"/>
          <w:b/>
          <w:color w:val="00261B"/>
          <w:sz w:val="18"/>
        </w:rPr>
        <w:t xml:space="preserve">Originator  </w:t>
      </w:r>
      <w:r>
        <w:rPr>
          <w:rFonts w:cs="Calibri"/>
          <w:color w:val="000000"/>
          <w:sz w:val="18"/>
        </w:rPr>
        <w:t>Individual Training Review</w:t>
      </w:r>
      <w:r>
        <w:rPr>
          <w:rFonts w:cs="Calibri"/>
        </w:rPr>
        <w:t xml:space="preserve">      </w:t>
      </w:r>
      <w:r>
        <w:rPr>
          <w:rFonts w:cs="Calibri"/>
          <w:b/>
          <w:color w:val="00261B"/>
          <w:sz w:val="18"/>
        </w:rPr>
        <w:t xml:space="preserve">Date  </w:t>
      </w:r>
      <w:r>
        <w:rPr>
          <w:rFonts w:cs="Calibri"/>
          <w:color w:val="000000"/>
          <w:sz w:val="18"/>
        </w:rPr>
        <w:t>September 2026</w:t>
      </w:r>
      <w:r>
        <w:rPr>
          <w:rFonts w:cs="Calibri"/>
        </w:rPr>
        <w:t xml:space="preserve">      </w:t>
      </w:r>
      <w:r>
        <w:rPr>
          <w:rFonts w:cs="Calibri"/>
          <w:b/>
          <w:color w:val="00261B"/>
          <w:sz w:val="18"/>
        </w:rPr>
        <w:t xml:space="preserve">Version  </w:t>
      </w:r>
      <w:r>
        <w:rPr>
          <w:rFonts w:cs="Calibri"/>
          <w:color w:val="000000"/>
          <w:sz w:val="18"/>
        </w:rPr>
        <w:t>Working draft v0.8</w:t>
      </w:r>
    </w:p>
    <w:p>
      <w:pPr>
        <w:pStyle w:val="Heading1"/>
        <w:pBdr>
          <w:top w:val="single" w:sz="12" w:space="6" w:color="000000"/>
        </w:pBdr>
        <w:rPr/>
      </w:pPr>
      <w:r>
        <w:rPr>
          <w:rFonts w:cs="Arial Black" w:ascii="Arial Black" w:hAnsi="Arial Black"/>
          <w:b w:val="false"/>
          <w:i w:val="false"/>
          <w:color w:val="000000"/>
          <w:sz w:val="24"/>
        </w:rPr>
        <w:t>Commander's Question</w:t>
      </w:r>
    </w:p>
    <w:p>
      <w:pPr>
        <w:pStyle w:val="Normal"/>
        <w:pBdr>
          <w:left w:val="single" w:sz="28" w:space="8" w:color="D31145"/>
        </w:pBdr>
        <w:shd w:val="clear" w:color="auto" w:fill="DFD8AD"/>
        <w:spacing w:before="60" w:after="80"/>
        <w:ind w:left="283" w:right="283"/>
        <w:rPr/>
      </w:pPr>
      <w:r>
        <w:rPr>
          <w:rFonts w:cs="Calibri"/>
          <w:b/>
          <w:i w:val="false"/>
          <w:color w:val="00261B"/>
          <w:sz w:val="18"/>
        </w:rPr>
        <w:t>What is the Army approach to individual training?</w:t>
      </w:r>
    </w:p>
    <w:p>
      <w:pPr>
        <w:pStyle w:val="Normal"/>
        <w:rPr/>
      </w:pPr>
      <w:r>
        <w:rPr>
          <w:rFonts w:cs="Calibri"/>
          <w:b w:val="false"/>
          <w:i w:val="false"/>
        </w:rPr>
        <w:t>A working synthesis of the evidence so far, to be tested and refined as the activity continues.</w:t>
      </w:r>
    </w:p>
    <w:p>
      <w:pPr>
        <w:pStyle w:val="Heading1"/>
        <w:pBdr>
          <w:top w:val="single" w:sz="12" w:space="6" w:color="000000"/>
        </w:pBdr>
        <w:rPr/>
      </w:pPr>
      <w:r>
        <w:rPr>
          <w:rFonts w:cs="Arial Black" w:ascii="Arial Black" w:hAnsi="Arial Black"/>
          <w:b w:val="false"/>
          <w:i w:val="false"/>
          <w:color w:val="000000"/>
          <w:sz w:val="24"/>
        </w:rPr>
        <w:t>Emerging Takeaways</w:t>
      </w:r>
    </w:p>
    <w:p>
      <w:pPr>
        <w:pStyle w:val="Normal"/>
        <w:tabs>
          <w:tab w:val="clear" w:pos="720"/>
          <w:tab w:val="left" w:pos="425" w:leader="none"/>
        </w:tabs>
        <w:spacing w:before="0" w:after="100"/>
        <w:ind w:hanging="425" w:left="425"/>
        <w:rPr/>
      </w:pPr>
      <w:r>
        <w:rPr>
          <w:rFonts w:cs="Arial Black" w:ascii="Arial Black" w:hAnsi="Arial Black"/>
          <w:color w:val="D31145"/>
          <w:sz w:val="19"/>
        </w:rPr>
        <w:t>1</w:t>
        <w:tab/>
      </w:r>
      <w:r>
        <w:rPr>
          <w:rFonts w:cs="Calibri"/>
          <w:b/>
          <w:i w:val="false"/>
        </w:rPr>
        <w:t>Individual training exists to produce operational competence.</w:t>
      </w:r>
      <w:r>
        <w:rPr>
          <w:rFonts w:cs="Calibri"/>
          <w:b w:val="false"/>
          <w:i w:val="false"/>
        </w:rPr>
        <w:t xml:space="preserve"> Course completion is a means, not the end. Success is whether an individual can perform to the required standard, in role and under operational conditions.</w:t>
      </w:r>
    </w:p>
    <w:p>
      <w:pPr>
        <w:pStyle w:val="Normal"/>
        <w:tabs>
          <w:tab w:val="clear" w:pos="720"/>
          <w:tab w:val="left" w:pos="425" w:leader="none"/>
        </w:tabs>
        <w:spacing w:before="0" w:after="100"/>
        <w:ind w:hanging="425" w:left="425"/>
        <w:rPr/>
      </w:pPr>
      <w:r>
        <w:rPr>
          <w:rFonts w:cs="Arial Black" w:ascii="Arial Black" w:hAnsi="Arial Black"/>
          <w:color w:val="D31145"/>
          <w:sz w:val="19"/>
        </w:rPr>
        <w:t>2</w:t>
        <w:tab/>
      </w:r>
      <w:r>
        <w:rPr>
          <w:rFonts w:cs="Calibri"/>
          <w:b/>
          <w:i w:val="false"/>
        </w:rPr>
        <w:t>The standard is common; the learning journey need not be identical.</w:t>
      </w:r>
      <w:r>
        <w:rPr>
          <w:rFonts w:cs="Calibri"/>
          <w:b w:val="false"/>
          <w:i w:val="false"/>
        </w:rPr>
        <w:t xml:space="preserve"> Individuals arrive with different experience, competence and learning needs. Army adapts the pathway without diluting the standard, and retains operational assurance in doing so.</w:t>
      </w:r>
    </w:p>
    <w:p>
      <w:pPr>
        <w:pStyle w:val="Normal"/>
        <w:tabs>
          <w:tab w:val="clear" w:pos="720"/>
          <w:tab w:val="left" w:pos="425" w:leader="none"/>
        </w:tabs>
        <w:spacing w:before="0" w:after="100"/>
        <w:ind w:hanging="425" w:left="425"/>
        <w:rPr/>
      </w:pPr>
      <w:r>
        <w:rPr>
          <w:rFonts w:cs="Arial Black" w:ascii="Arial Black" w:hAnsi="Arial Black"/>
          <w:color w:val="D31145"/>
          <w:sz w:val="19"/>
        </w:rPr>
        <w:t>3</w:t>
        <w:tab/>
      </w:r>
      <w:r>
        <w:rPr>
          <w:rFonts w:cs="Calibri"/>
          <w:b/>
          <w:i w:val="false"/>
        </w:rPr>
        <w:t>Competence develops progressively through practice, experience and feedback.</w:t>
      </w:r>
      <w:r>
        <w:rPr>
          <w:rFonts w:cs="Calibri"/>
          <w:b w:val="false"/>
          <w:i w:val="false"/>
        </w:rPr>
        <w:t xml:space="preserve"> Training should move deliberately from foundation knowledge and guided practice toward independent application, judgement and performance under pressure.</w:t>
      </w:r>
    </w:p>
    <w:p>
      <w:pPr>
        <w:pStyle w:val="Normal"/>
        <w:tabs>
          <w:tab w:val="clear" w:pos="720"/>
          <w:tab w:val="left" w:pos="425" w:leader="none"/>
        </w:tabs>
        <w:spacing w:before="0" w:after="100"/>
        <w:ind w:hanging="425" w:left="425"/>
        <w:rPr/>
      </w:pPr>
      <w:r>
        <w:rPr>
          <w:rFonts w:cs="Arial Black" w:ascii="Arial Black" w:hAnsi="Arial Black"/>
          <w:color w:val="D31145"/>
          <w:sz w:val="19"/>
        </w:rPr>
        <w:t>4</w:t>
        <w:tab/>
      </w:r>
      <w:r>
        <w:rPr>
          <w:rFonts w:cs="Calibri"/>
          <w:b/>
          <w:i w:val="false"/>
        </w:rPr>
        <w:t>The level of direction should change as competence grows.</w:t>
      </w:r>
      <w:r>
        <w:rPr>
          <w:rFonts w:cs="Calibri"/>
          <w:b w:val="false"/>
          <w:i w:val="false"/>
        </w:rPr>
        <w:t xml:space="preserve"> Foundational and high-risk training requires greater standardisation and instructor control. As competence develops, learner autonomy, complexity, experiential learning and reflection can increase.</w:t>
      </w:r>
    </w:p>
    <w:p>
      <w:pPr>
        <w:pStyle w:val="Normal"/>
        <w:tabs>
          <w:tab w:val="clear" w:pos="720"/>
          <w:tab w:val="left" w:pos="425" w:leader="none"/>
        </w:tabs>
        <w:spacing w:before="0" w:after="100"/>
        <w:ind w:hanging="425" w:left="425"/>
        <w:rPr/>
      </w:pPr>
      <w:r>
        <w:rPr>
          <w:rFonts w:cs="Arial Black" w:ascii="Arial Black" w:hAnsi="Arial Black"/>
          <w:color w:val="D31145"/>
          <w:sz w:val="19"/>
        </w:rPr>
        <w:t>5</w:t>
        <w:tab/>
      </w:r>
      <w:r>
        <w:rPr>
          <w:rFonts w:cs="Calibri"/>
          <w:b/>
          <w:i w:val="false"/>
        </w:rPr>
        <w:t>Individual training extends beyond the course.</w:t>
      </w:r>
      <w:r>
        <w:rPr>
          <w:rFonts w:cs="Calibri"/>
          <w:b w:val="false"/>
          <w:i w:val="false"/>
        </w:rPr>
        <w:t xml:space="preserve"> Formal instruction, digital and distributed learning, simulation, coaching, workplace experience, feedback and reinforcement are complementary parts of one continuous system. Learning should be accessible before, during and after formal training.</w:t>
      </w:r>
    </w:p>
    <w:p>
      <w:pPr>
        <w:pStyle w:val="Normal"/>
        <w:tabs>
          <w:tab w:val="clear" w:pos="720"/>
          <w:tab w:val="left" w:pos="425" w:leader="none"/>
        </w:tabs>
        <w:spacing w:before="0" w:after="100"/>
        <w:ind w:hanging="425" w:left="425"/>
        <w:rPr/>
      </w:pPr>
      <w:r>
        <w:rPr>
          <w:rFonts w:cs="Arial Black" w:ascii="Arial Black" w:hAnsi="Arial Black"/>
          <w:color w:val="D31145"/>
          <w:sz w:val="19"/>
        </w:rPr>
        <w:t>6</w:t>
        <w:tab/>
      </w:r>
      <w:r>
        <w:rPr>
          <w:rFonts w:cs="Calibri"/>
          <w:b/>
          <w:i w:val="false"/>
        </w:rPr>
        <w:t>The method is selected to achieve the outcome.</w:t>
      </w:r>
      <w:r>
        <w:rPr>
          <w:rFonts w:cs="Calibri"/>
          <w:b w:val="false"/>
          <w:i w:val="false"/>
        </w:rPr>
        <w:t xml:space="preserve"> Instructors, technology, learning frameworks, simulation, data and AI are enablers, not the Army approach itself. Their value depends on people being competent and practised in their use, on the judgement to check what they produce, and on improving practice, feedback, adaptation and evidence of performance. Human interaction remains essential to teamwork, judgement and trust, and no method replaces it.</w:t>
      </w:r>
    </w:p>
    <w:p>
      <w:pPr>
        <w:pStyle w:val="Heading1"/>
        <w:pBdr>
          <w:top w:val="single" w:sz="12" w:space="6" w:color="000000"/>
        </w:pBdr>
        <w:rPr/>
      </w:pPr>
      <w:r>
        <w:rPr>
          <w:rFonts w:cs="Arial Black" w:ascii="Arial Black" w:hAnsi="Arial Black"/>
          <w:b w:val="false"/>
          <w:i w:val="false"/>
          <w:color w:val="000000"/>
          <w:sz w:val="24"/>
        </w:rPr>
        <w:t>Emerging Model</w:t>
      </w:r>
    </w:p>
    <w:p>
      <w:pPr>
        <w:pStyle w:val="Normal"/>
        <w:shd w:val="clear" w:color="auto" w:fill="00261B"/>
        <w:spacing w:before="80" w:after="100"/>
        <w:ind w:left="57" w:right="57"/>
        <w:jc w:val="center"/>
        <w:rPr/>
      </w:pPr>
      <w:r>
        <w:rPr>
          <w:rFonts w:cs="Calibri"/>
          <w:b/>
          <w:i w:val="false"/>
          <w:color w:val="FFFFFF"/>
          <w:sz w:val="18"/>
        </w:rPr>
        <w:t>Foundation → Guided Practice → Independent Practice → Applied / Experiential Learning → Performance Under Pressure</w:t>
      </w:r>
    </w:p>
    <w:p>
      <w:pPr>
        <w:pStyle w:val="Normal"/>
        <w:rPr/>
      </w:pPr>
      <w:r>
        <w:rPr>
          <w:rFonts w:cs="Calibri"/>
          <w:b w:val="false"/>
          <w:i w:val="false"/>
        </w:rPr>
        <w:t>Across this progression:</w:t>
      </w:r>
    </w:p>
    <w:p>
      <w:pPr>
        <w:pStyle w:val="Normal"/>
        <w:rPr/>
      </w:pPr>
      <w:r>
        <w:rPr>
          <w:rFonts w:cs="Calibri"/>
          <w:b w:val="false"/>
          <w:i w:val="false"/>
        </w:rPr>
        <w:t>Instructor direction decreases while learner autonomy, complexity and pressure increase.</w:t>
      </w:r>
    </w:p>
    <w:p>
      <w:pPr>
        <w:pStyle w:val="Normal"/>
        <w:rPr/>
      </w:pPr>
      <w:r>
        <w:rPr>
          <w:rFonts w:cs="Calibri"/>
          <w:b w:val="false"/>
          <w:i w:val="false"/>
        </w:rPr>
        <w:t>How far and how fast an individual progresses is determined by:</w:t>
      </w:r>
    </w:p>
    <w:p>
      <w:pPr>
        <w:pStyle w:val="Normal"/>
        <w:shd w:val="clear" w:color="auto" w:fill="00261B"/>
        <w:spacing w:before="80" w:after="100"/>
        <w:ind w:left="57" w:right="57"/>
        <w:jc w:val="center"/>
        <w:rPr/>
      </w:pPr>
      <w:r>
        <w:rPr>
          <w:rFonts w:cs="Calibri"/>
          <w:b/>
          <w:i w:val="false"/>
          <w:color w:val="FFFFFF"/>
          <w:sz w:val="18"/>
        </w:rPr>
        <w:t>Risk × Complexity × Learner Competence × Required Operational Outcome</w:t>
      </w:r>
    </w:p>
    <w:p>
      <w:pPr>
        <w:pStyle w:val="Normal"/>
        <w:rPr/>
      </w:pPr>
      <w:r>
        <w:rPr>
          <w:rFonts w:cs="Calibri"/>
          <w:b w:val="false"/>
          <w:i w:val="false"/>
        </w:rPr>
        <w:t>Individual training continues across a career through a recurring cycle:</w:t>
      </w:r>
    </w:p>
    <w:p>
      <w:pPr>
        <w:pStyle w:val="Normal"/>
        <w:shd w:val="clear" w:color="auto" w:fill="00261B"/>
        <w:spacing w:before="80" w:after="100"/>
        <w:ind w:left="57" w:right="57"/>
        <w:jc w:val="center"/>
        <w:rPr/>
      </w:pPr>
      <w:r>
        <w:rPr>
          <w:rFonts w:cs="Calibri"/>
          <w:b/>
          <w:i w:val="false"/>
          <w:color w:val="FFFFFF"/>
          <w:sz w:val="18"/>
        </w:rPr>
        <w:t>Prepare → Learn → Practise → Apply → Perform → Feedback → Reinforce / Adapt</w:t>
      </w:r>
    </w:p>
    <w:p>
      <w:pPr>
        <w:pStyle w:val="Heading1"/>
        <w:pBdr>
          <w:top w:val="single" w:sz="12" w:space="6" w:color="000000"/>
        </w:pBdr>
        <w:rPr/>
      </w:pPr>
      <w:r>
        <w:rPr>
          <w:rFonts w:cs="Arial Black" w:ascii="Arial Black" w:hAnsi="Arial Black"/>
          <w:b w:val="false"/>
          <w:i w:val="false"/>
          <w:color w:val="000000"/>
          <w:sz w:val="24"/>
        </w:rPr>
        <w:t>Emerging Proposition</w:t>
      </w:r>
    </w:p>
    <w:p>
      <w:pPr>
        <w:pStyle w:val="Normal"/>
        <w:pBdr>
          <w:left w:val="single" w:sz="28" w:space="8" w:color="D31145"/>
        </w:pBdr>
        <w:shd w:val="clear" w:color="auto" w:fill="DFD8AD"/>
        <w:spacing w:before="60" w:after="80"/>
        <w:ind w:left="283" w:right="283"/>
        <w:rPr/>
      </w:pPr>
      <w:r>
        <w:rPr>
          <w:rFonts w:cs="Calibri"/>
          <w:b/>
          <w:i w:val="false"/>
          <w:color w:val="00261B"/>
          <w:sz w:val="18"/>
        </w:rPr>
        <w:t>Army develops individuals progressively and continuously toward operational competence, balancing direction, practice, experience and learner agency according to risk, complexity, competence and operational need.</w:t>
      </w:r>
      <w:r>
        <w:rPr>
          <w:rFonts w:cs="Calibri"/>
          <w:sz w:val="18"/>
        </w:rPr>
        <w:br/>
      </w:r>
      <w:r>
        <w:rPr>
          <w:rFonts w:cs="Calibri"/>
          <w:b/>
          <w:i w:val="false"/>
          <w:color w:val="00261B"/>
          <w:sz w:val="18"/>
        </w:rPr>
        <w:t>The standard is common; the journey to it need not be identical.</w:t>
      </w:r>
    </w:p>
    <w:p>
      <w:pPr>
        <w:pStyle w:val="Normal"/>
        <w:widowControl/>
        <w:bidi w:val="0"/>
        <w:spacing w:lineRule="auto" w:line="252" w:before="0" w:after="80"/>
        <w:jc w:val="left"/>
        <w:rPr/>
      </w:pPr>
      <w:r>
        <w:rPr>
          <w:rFonts w:cs="Calibri"/>
          <w:b w:val="false"/>
          <w:i w:val="false"/>
        </w:rPr>
        <w:t>An emerging proposition based on the evidence from the first five sessions, to be tested against those still to come.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47" w:right="1247" w:gutter="0" w:header="510" w:top="1020" w:footer="51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Blac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706" w:leader="none"/>
        <w:tab w:val="right" w:pos="9411" w:leader="none"/>
      </w:tabs>
      <w:spacing w:before="40" w:after="0"/>
      <w:rPr/>
    </w:pPr>
    <w:r>
      <w:rPr>
        <w:rFonts w:cs="Calibri"/>
        <w:color w:val="000000"/>
        <w:sz w:val="17"/>
      </w:rPr>
      <w:t>Individual Training – Key Takeaways</w:t>
      <w:tab/>
      <w:t>Working synthesis</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1</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1</w:t>
    </w:r>
    <w:r>
      <w:rPr>
        <w:sz w:val="17"/>
        <w:rFonts w:cs="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706" w:leader="none"/>
        <w:tab w:val="right" w:pos="9411" w:leader="none"/>
      </w:tabs>
      <w:spacing w:before="40" w:after="0"/>
      <w:rPr/>
    </w:pPr>
    <w:r>
      <w:rPr>
        <w:rFonts w:cs="Calibri"/>
        <w:color w:val="000000"/>
        <w:sz w:val="17"/>
      </w:rPr>
      <w:t>Individual Training – Key Takeaways</w:t>
      <w:tab/>
      <w:t>Working synthesis</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1</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1</w:t>
    </w:r>
    <w:r>
      <w:rPr>
        <w:sz w:val="17"/>
        <w:rFonts w:cs="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WenQuanYi Zen Hei" w:cs="Calibr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80"/>
      <w:jc w:val="left"/>
    </w:pPr>
    <w:rPr>
      <w:rFonts w:ascii="Calibri" w:hAnsi="Calibri" w:cs="Calibri" w:eastAsia="WenQuanYi Zen Hei"/>
      <w:color w:val="000000"/>
      <w:kern w:val="0"/>
      <w:sz w:val="19"/>
      <w:szCs w:val="22"/>
      <w:lang w:val="en-US" w:eastAsia="en-US" w:bidi="ar-SA"/>
    </w:rPr>
  </w:style>
  <w:style w:type="paragraph" w:styleId="Heading1">
    <w:name w:val="Heading 1"/>
    <w:basedOn w:val="Normal"/>
    <w:next w:val="Normal"/>
    <w:uiPriority w:val="9"/>
    <w:qFormat/>
    <w:rsid w:val="00fc693f"/>
    <w:pPr>
      <w:keepNext w:val="true"/>
      <w:keepLines/>
      <w:spacing w:before="200" w:after="100"/>
      <w:outlineLvl w:val="0"/>
    </w:pPr>
    <w:rPr>
      <w:rFonts w:ascii="Calibri" w:hAnsi="Calibri" w:cs="Calibri"/>
      <w:b w:val="false"/>
      <w:color w:val="000000"/>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433</Words>
  <Characters>2681</Characters>
  <CharactersWithSpaces>3101</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Individual Training Review</dc:creator>
  <dc:description>generated by python-docx</dc:description>
  <dc:language>en-US</dc:language>
  <cp:lastModifiedBy/>
  <dcterms:modified xsi:type="dcterms:W3CDTF">2026-09-01T23:52:26Z</dcterms:modified>
  <cp:revision>2</cp:revision>
  <dc:subject/>
  <dc:title>Individual Training – Key Takeaways</dc:title>
</cp:coreProperties>
</file>

<file path=docProps/custom.xml><?xml version="1.0" encoding="utf-8"?>
<Properties xmlns="http://schemas.openxmlformats.org/officeDocument/2006/custom-properties" xmlns:vt="http://schemas.openxmlformats.org/officeDocument/2006/docPropsVTypes"/>
</file>