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Framework Proposal</w:t>
      </w:r>
    </w:p>
    <w:p>
      <w:pPr>
        <w:pStyle w:val="Normal"/>
        <w:spacing w:before="160" w:after="40"/>
        <w:rPr/>
      </w:pPr>
      <w:r>
        <w:rPr>
          <w:rFonts w:cs="Arial" w:ascii="Arial" w:hAnsi="Arial"/>
          <w:color w:val="000000"/>
          <w:sz w:val="26"/>
        </w:rPr>
        <w:t>Remain effective. Act decisively.</w:t>
      </w:r>
    </w:p>
    <w:p>
      <w:pPr>
        <w:pStyle w:val="Normal"/>
        <w:spacing w:before="0" w:after="1680"/>
        <w:rPr/>
      </w:pPr>
      <w:r>
        <w:rPr>
          <w:rFonts w:cs="Arial" w:ascii="Arial" w:hAnsi="Arial"/>
          <w:b/>
          <w:color w:val="C62026"/>
          <w:sz w:val="26"/>
        </w:rPr>
        <w:t>Harder to kill.</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August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v1.0</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5_4017517749">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7_4017517749">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89_4017517749">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1_4017517749">
            <w:r>
              <w:rPr>
                <w:webHidden/>
                <w:rStyle w:val="IndexLink"/>
                <w:i w:val="false"/>
              </w:rPr>
              <w:t>2. Terminology and definitions: decision sought</w:t>
            </w:r>
            <w:r>
              <w:rPr>
                <w:rStyle w:val="IndexLink"/>
              </w:rPr>
              <w:tab/>
              <w:t>5</w:t>
            </w:r>
          </w:hyperlink>
        </w:p>
        <w:p>
          <w:pPr>
            <w:pStyle w:val="TOC1"/>
            <w:tabs>
              <w:tab w:val="clear" w:pos="9072"/>
              <w:tab w:val="right" w:pos="9071" w:leader="dot"/>
            </w:tabs>
            <w:rPr/>
          </w:pPr>
          <w:hyperlink w:anchor="__RefHeading___Toc393_4017517749">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5_4017517749">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7_4017517749">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399_4017517749">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1_4017517749">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3_4017517749">
            <w:r>
              <w:rPr>
                <w:webHidden/>
                <w:rStyle w:val="IndexLink"/>
                <w:i w:val="false"/>
              </w:rPr>
              <w:t>Annex A: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5_4017517749"/>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387_4017517749"/>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Combat Mindset Framework as the organising system,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Combat Mindset Framework. The definitions are a drafting baseline; the capability pillars are provisional; the Phase 2 assessment and Phase 4 validation will confirm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89_4017517749"/>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(notably by NZDF Psychology)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assessment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1_4017517749"/>
      <w:bookmarkEnd w:id="3"/>
      <w:r>
        <w:rPr>
          <w:rFonts w:cs="Arial" w:ascii="Arial" w:hAnsi="Arial"/>
          <w:b/>
          <w:i w:val="false"/>
          <w:color w:val="002516"/>
          <w:sz w:val="28"/>
        </w:rPr>
        <w:t>2. Terminology and definitions: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Combat Mindset Framework is the organising system through which Army will govern, develop, deliver and assure this effect across provisional capability pillars, developmental outcomes, training products and governance arrangements.</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Combat Mindset Framework.</w:t>
      </w:r>
      <w:r>
        <w:rPr>
          <w:rFonts w:cs="Book Antiqua"/>
          <w:b w:val="false"/>
          <w:i/>
        </w:rPr>
        <w:t xml:space="preserve"> The framework through which Combat Mindset is governed, developed, delivered and assured.</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3_4017517749"/>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(a single organising framework beneath which existing products are nested and assured) is consistent with that direction.</w:t>
      </w:r>
    </w:p>
    <w:p>
      <w:pPr>
        <w:pStyle w:val="Normal"/>
        <w:rPr/>
      </w:pPr>
      <w:r>
        <w:rPr>
          <w:rFonts w:cs="Book Antiqua"/>
          <w:b w:val="false"/>
          <w:i w:val="false"/>
        </w:rPr>
        <w:t>A full assessment of existing capability and products will be completed during Phase 2.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2 assessment.</w:t>
      </w:r>
    </w:p>
    <w:p>
      <w:pPr>
        <w:pStyle w:val="Normal"/>
        <w:rPr/>
      </w:pPr>
      <w:r>
        <w:rPr>
          <w:rFonts w:cs="Book Antiqua"/>
          <w:b w:val="false"/>
          <w:i w:val="false"/>
        </w:rPr>
        <w:t>Initial review indicates considerable conceptual alignment across existing products. The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5_4017517749"/>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1: Define and govern (on endorsement of this paper; target mid-August 2026) (ACS) [proposed – confirm]</w:t>
      </w:r>
    </w:p>
    <w:p>
      <w:pPr>
        <w:pStyle w:val="Normal"/>
        <w:rPr/>
      </w:pPr>
      <w:r>
        <w:rPr>
          <w:rFonts w:cs="Book Antiqua"/>
          <w:b w:val="false"/>
          <w:i w:val="false"/>
        </w:rPr>
        <w:t>Confirm terminology, governance, roles and responsibilities: endorse the problem statement, select the terminology option at paragraph 2, confirm interim sponsorship and capability-integration arrangements, and draft for staffing the endorsed definitions of Combat Mindset, Performance Under Pressure and the Combat Mindset Framework, together with the agreed relationship between the three.</w:t>
      </w:r>
    </w:p>
    <w:p>
      <w:pPr>
        <w:pStyle w:val="Heading2"/>
        <w:rPr/>
      </w:pPr>
      <w:r>
        <w:rPr>
          <w:rFonts w:cs="Arial" w:ascii="Arial" w:hAnsi="Arial"/>
          <w:b/>
          <w:i w:val="false"/>
          <w:color w:val="000000"/>
          <w:sz w:val="22"/>
        </w:rPr>
        <w:t>Phase 2: Understand (August–September 2026) (NZALC lead, HPC support) [proposed – confirm]</w:t>
      </w:r>
    </w:p>
    <w:p>
      <w:pPr>
        <w:pStyle w:val="Normal"/>
        <w:rPr/>
      </w:pPr>
      <w:r>
        <w:rPr>
          <w:rFonts w:cs="Book Antiqua"/>
          <w:b w:val="false"/>
          <w:i w:val="false"/>
        </w:rPr>
        <w:t>Assess existing doctrine, content, products, courses, instructor capability, delivery activity, evidence, ownership and assurance arrangements across ACS, NZALC, HPC, NZDF Psychology, ILD, training establishments and selected units. The assessment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assessment will identify which products contribute to the broader Performance Under Pressure capability and which support its combat-specific expression, using the combat-specificity test at paragraph 2. COGCON will be assessed as one developmental product within this assessment, with particular attention to its product boundary, evidence base (including its completed feasibility trials in live military training), ownership, workforce requirements and scalability.</w:t>
      </w:r>
    </w:p>
    <w:p>
      <w:pPr>
        <w:pStyle w:val="Heading2"/>
        <w:rPr/>
      </w:pPr>
      <w:r>
        <w:rPr>
          <w:rFonts w:cs="Arial" w:ascii="Arial" w:hAnsi="Arial"/>
          <w:b/>
          <w:i w:val="false"/>
          <w:color w:val="000000"/>
          <w:sz w:val="22"/>
        </w:rPr>
        <w:t>Phase 3: Design (September–October 2026) (NZALC/HPC joint) [proposed – confirm]</w:t>
      </w:r>
    </w:p>
    <w:p>
      <w:pPr>
        <w:pStyle w:val="Normal"/>
        <w:rPr/>
      </w:pPr>
      <w:r>
        <w:rPr>
          <w:rFonts w:cs="Book Antiqua"/>
          <w:b w:val="false"/>
          <w:i w:val="false"/>
        </w:rPr>
        <w:t>Develop the Combat Mindset Framework, delivery system and outcomes: the organising system through which Army will govern, develop, deliver and assure Performance Under Pressure and its combat-specific expression. The framework will include the endorsed definitions and desired operational effect; the provisional capability pillars, refined through the assessment;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subject to validation through the Phase 2 assessment and Phase 4 validation. Each describes an enduring capability Army seeks to build. Training products and methods (including progressive exposure to pressure, scenario and experiential training, field and mission-relevant rehearsal, and physical and cognitive conditioning)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4: Validate (October 2026) (ACS convenes) [proposed – confirm]</w:t>
      </w:r>
    </w:p>
    <w:p>
      <w:pPr>
        <w:pStyle w:val="Normal"/>
        <w:rPr/>
      </w:pPr>
      <w:r>
        <w:rPr>
          <w:rFonts w:cs="Book Antiqua"/>
          <w:b w:val="false"/>
          <w:i w:val="false"/>
        </w:rPr>
        <w:t>Refine the framework with key stakeholders and conduct bounded pilots: 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5: Implement (November 2026) (ACS) [proposed – confirm]</w:t>
      </w:r>
    </w:p>
    <w:p>
      <w:pPr>
        <w:pStyle w:val="Normal"/>
        <w:rPr/>
      </w:pPr>
      <w:r>
        <w:rPr>
          <w:rFonts w:cs="Book Antiqua"/>
          <w:b w:val="false"/>
          <w:i w:val="false"/>
        </w:rPr>
        <w:t>Deliver the framework for approval and implementation: 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7_4017517749"/>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1.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strategic sponsor for Combat Mindset, the enabling Performance Under Pressure capability and the Combat Mindset Framework; to be confirmed at Phase 1,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399_4017517749"/>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Combat Mindset Framework through the proposed capability and product assessment, framework design and validation activity, noting that the provisional capability pillars and the contribution, maturity, evidence, ownership and appropriate nesting of existing products (including the NZALC Performance Under Pressure package, COGCON and NZDF Psychology products)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(Remain effective. Act decisively. Harder to kill.),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1_4017517749"/>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2 assessment.</w:t>
      </w:r>
    </w:p>
    <w:p>
      <w:pPr>
        <w:pStyle w:val="Heading1"/>
        <w:pBdr>
          <w:left w:val="single" w:sz="24" w:space="8" w:color="C62026"/>
        </w:pBdr>
        <w:rPr/>
      </w:pPr>
      <w:bookmarkStart w:id="9" w:name="__RefHeading___Toc403_4017517749"/>
      <w:bookmarkEnd w:id="9"/>
      <w:r>
        <w:rPr>
          <w:rFonts w:cs="Arial" w:ascii="Arial" w:hAnsi="Arial"/>
          <w:b/>
          <w:i w:val="false"/>
          <w:color w:val="002516"/>
          <w:sz w:val="28"/>
        </w:rPr>
        <w:t>Annex A: Interim governance and division of functions</w:t>
      </w:r>
    </w:p>
    <w:p>
      <w:pPr>
        <w:pStyle w:val="Normal"/>
        <w:rPr/>
      </w:pPr>
      <w:r>
        <w:rPr>
          <w:rFonts w:cs="Book Antiqua"/>
          <w:b w:val="false"/>
          <w:i w:val="false"/>
        </w:rPr>
        <w:t>The following division of functions is proposed for confirmation at Phase 1 and refinement through the Phase 2 assessment and Phase 4 validation.</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Framework Proposal</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2644</Words>
  <Characters>17169</Characters>
  <CharactersWithSpaces>19648</CharactersWithSpaces>
  <Paragraphs>168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2026-08-05T02:19:37Z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