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32_2077115726">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34_2077115726">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36_2077115726">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38_2077115726">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340_2077115726">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42_2077115726">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344_2077115726">
            <w:r>
              <w:rPr>
                <w:webHidden/>
                <w:rStyle w:val="IndexLink"/>
                <w:i w:val="false"/>
              </w:rPr>
              <w:t>5. Recommendations</w:t>
            </w:r>
            <w:r>
              <w:rPr>
                <w:rStyle w:val="IndexLink"/>
              </w:rPr>
              <w:tab/>
              <w:t>8</w:t>
            </w:r>
          </w:hyperlink>
        </w:p>
        <w:p>
          <w:pPr>
            <w:pStyle w:val="TOC1"/>
            <w:tabs>
              <w:tab w:val="clear" w:pos="9072"/>
              <w:tab w:val="right" w:pos="9071" w:leader="dot"/>
            </w:tabs>
            <w:rPr/>
          </w:pPr>
          <w:hyperlink w:anchor="__RefHeading___Toc346_2077115726">
            <w:r>
              <w:rPr>
                <w:webHidden/>
                <w:rStyle w:val="IndexLink"/>
                <w:i w:val="false"/>
              </w:rPr>
              <w:t>Foundation documents</w:t>
            </w:r>
            <w:r>
              <w:rPr>
                <w:rStyle w:val="IndexLink"/>
              </w:rPr>
              <w:tab/>
              <w:t>10</w:t>
            </w:r>
          </w:hyperlink>
        </w:p>
        <w:p>
          <w:pPr>
            <w:pStyle w:val="TOC1"/>
            <w:tabs>
              <w:tab w:val="clear" w:pos="9072"/>
              <w:tab w:val="right" w:pos="9071" w:leader="dot"/>
            </w:tabs>
            <w:rPr/>
          </w:pPr>
          <w:hyperlink w:anchor="__RefHeading___Toc348_2077115726">
            <w:r>
              <w:rPr>
                <w:webHidden/>
                <w:rStyle w:val="IndexLink"/>
                <w:i w:val="false"/>
              </w:rPr>
              <w:t>Annex A: Interim governance and division of functions</w:t>
            </w:r>
            <w:r>
              <w:rPr>
                <w:rStyle w:val="IndexLink"/>
              </w:rPr>
              <w:tab/>
              <w:t>10</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32_2077115726"/>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34_2077115726"/>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36_2077115726"/>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38_2077115726"/>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40_2077115726"/>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42_2077115726"/>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w:t>
      </w:r>
    </w:p>
    <w:p>
      <w:pPr>
        <w:pStyle w:val="Normal"/>
        <w:rPr/>
      </w:pPr>
      <w:r>
        <w:rPr>
          <w:rFonts w:cs="Book Antiqua"/>
          <w:b w:val="false"/>
          <w:i w:val="false"/>
        </w:rPr>
        <w:t>Endorse the problem statement, select the terminology option at paragraph 2, and confirm interim sponsorship, capability-integration arrangements and phase leads. Draft for staffing the endorsed definitions of Combat Mindset, Performance Under Pressure and the Combat Mindset Framework, together with the relationship between the three.</w:t>
      </w:r>
    </w:p>
    <w:p>
      <w:pPr>
        <w:pStyle w:val="Normal"/>
        <w:rPr/>
      </w:pPr>
      <w:r>
        <w:rPr>
          <w:rFonts w:cs="Book Antiqua"/>
          <w:b/>
          <w:i w:val="false"/>
        </w:rPr>
        <w:t>Key output.</w:t>
      </w:r>
      <w:r>
        <w:rPr>
          <w:rFonts w:cs="Book Antiqua"/>
          <w:b w:val="false"/>
          <w:i w:val="false"/>
        </w:rPr>
        <w:t xml:space="preserve"> Endorsed definitions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delivery and governance.</w:t>
      </w:r>
    </w:p>
    <w:p>
      <w:pPr>
        <w:pStyle w:val="Normal"/>
        <w:rPr/>
      </w:pPr>
      <w:r>
        <w:rPr>
          <w:rFonts w:cs="Book Antiqua"/>
          <w:b w:val="false"/>
          <w:i w:val="false"/>
        </w:rPr>
        <w:t>Assess holdings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within this assessment, with particular attention to its product boundary, evidence base (including its completed feasibility trials in live military training),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w:t>
      </w:r>
    </w:p>
    <w:p>
      <w:pPr>
        <w:pStyle w:val="Normal"/>
        <w:rPr/>
      </w:pPr>
      <w:r>
        <w:rPr>
          <w:rFonts w:cs="Book Antiqua"/>
          <w:b w:val="false"/>
          <w:i w:val="false"/>
        </w:rPr>
        <w:t>Draft the organising system through which Army will govern, develop, deliver and assure Performance Under Pressure and its combat-specific expression, covering the capability pillars, developmental outcomes from Lead Self through Lead Systems, common assurance principles, and the criteria by which products are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Existing products, including the NZALC Leadership Development System and COGCON, will be mapped beneath the relevant pillars rather than treated as the framework itself.</w:t>
      </w:r>
    </w:p>
    <w:p>
      <w:pPr>
        <w:pStyle w:val="Normal"/>
        <w:rPr/>
      </w:pPr>
      <w:r>
        <w:rPr>
          <w:rFonts w:cs="Book Antiqua"/>
          <w:b/>
          <w:i w:val="false"/>
        </w:rPr>
        <w:t>Key output.</w:t>
      </w:r>
      <w:r>
        <w:rPr>
          <w:rFonts w:cs="Book Antiqua"/>
          <w:b w:val="false"/>
          <w:i w:val="false"/>
        </w:rPr>
        <w:t xml:space="preserve"> Draft Framework v1.0, comprising the capability pillars, developmental outcomes, product architecture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w:t>
      </w:r>
    </w:p>
    <w:p>
      <w:pPr>
        <w:pStyle w:val="Normal"/>
        <w:rPr/>
      </w:pPr>
      <w:r>
        <w:rPr>
          <w:rFonts w:cs="Book Antiqua"/>
          <w:b w:val="false"/>
          <w:i w:val="false"/>
        </w:rPr>
        <w:t>Convene ACS, NZALC, HPC, APS, ILD, selected training providers and units to test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w:t>
      </w:r>
    </w:p>
    <w:p>
      <w:pPr>
        <w:pStyle w:val="Normal"/>
        <w:rPr/>
      </w:pPr>
      <w:r>
        <w:rPr>
          <w:rFonts w:cs="Book Antiqua"/>
          <w:b w:val="false"/>
          <w:i w:val="false"/>
        </w:rPr>
        <w:t>Present to COMDT ACS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44_2077115726"/>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the programme timeframes are aspirational and that activity may extend into early 2027.</w:t>
      </w:r>
    </w:p>
    <w:p>
      <w:pPr>
        <w:pStyle w:val="Heading1"/>
        <w:pBdr>
          <w:left w:val="single" w:sz="24" w:space="8" w:color="C62026"/>
        </w:pBdr>
        <w:spacing w:before="0" w:after="160"/>
        <w:rPr/>
      </w:pPr>
      <w:bookmarkStart w:id="7" w:name="__RefHeading___Toc346_2077115726"/>
      <w:bookmarkEnd w:id="7"/>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APS, ILD and doctrinal holdings will be confirmed and referenced through the Phase 2 assessment.</w:t>
      </w:r>
    </w:p>
    <w:p>
      <w:pPr>
        <w:pStyle w:val="Heading1"/>
        <w:pBdr>
          <w:left w:val="single" w:sz="24" w:space="8" w:color="C62026"/>
        </w:pBdr>
        <w:rPr/>
      </w:pPr>
      <w:bookmarkStart w:id="8" w:name="__RefHeading___Toc348_2077115726"/>
      <w:bookmarkEnd w:id="8"/>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9</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10</Pages>
  <Words>2035</Words>
  <Characters>13053</Characters>
  <CharactersWithSpaces>14935</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2026-08-05T03:13:06Z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