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40"/>
        <w:rPr/>
      </w:pPr>
      <w:r>
        <w:rPr>
          <w:rFonts w:cs="Arial" w:ascii="Arial" w:hAnsi="Arial"/>
          <w:color w:val="000000"/>
          <w:sz w:val="26"/>
        </w:rPr>
        <w:t>Remain effective. Act decisively.</w:t>
      </w:r>
    </w:p>
    <w:p>
      <w:pPr>
        <w:pStyle w:val="Normal"/>
        <w:spacing w:before="0" w:after="80"/>
        <w:rPr/>
      </w:pPr>
      <w:r>
        <w:rPr>
          <w:rFonts w:cs="Arial" w:ascii="Arial" w:hAnsi="Arial"/>
          <w:b/>
          <w:color w:val="C62026"/>
          <w:sz w:val="26"/>
        </w:rPr>
        <w:t>Harder to kill.</w:t>
      </w:r>
    </w:p>
    <w:p>
      <w:pPr>
        <w:pStyle w:val="Normal"/>
        <w:spacing w:before="0" w:after="1680"/>
        <w:rPr/>
      </w:pPr>
      <w:r>
        <w:rPr>
          <w:rFonts w:cs="Arial" w:ascii="Arial" w:hAnsi="Arial"/>
          <w:color w:val="002516"/>
          <w:sz w:val="18"/>
        </w:rPr>
        <w:t>Proposed tagline,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v0.9</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7_3124142782">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9_3124142782">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1_3124142782">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3_3124142782">
            <w:r>
              <w:rPr>
                <w:webHidden/>
                <w:rStyle w:val="IndexLink"/>
                <w:i w:val="false"/>
              </w:rPr>
              <w:t>2. Terminology and definitions: decision sought</w:t>
            </w:r>
            <w:r>
              <w:rPr>
                <w:rStyle w:val="IndexLink"/>
              </w:rPr>
              <w:tab/>
              <w:t>5</w:t>
            </w:r>
          </w:hyperlink>
        </w:p>
        <w:p>
          <w:pPr>
            <w:pStyle w:val="TOC1"/>
            <w:tabs>
              <w:tab w:val="clear" w:pos="9072"/>
              <w:tab w:val="right" w:pos="9071" w:leader="dot"/>
            </w:tabs>
            <w:rPr/>
          </w:pPr>
          <w:hyperlink w:anchor="__RefHeading___Toc395_3124142782">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7_3124142782">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9_3124142782">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1_3124142782">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3_3124142782">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5_3124142782">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7_3124142782"/>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9_3124142782"/>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Combat Mindset Framework as the organising system,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Combat Mindset Framework. The definitions are a drafting baseline; the capability pillars are provisional; the Phase 2 assessment and Phase 4 validation will confirm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1_3124142782"/>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(notably by NZDF Psychology)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assessment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3_3124142782"/>
      <w:bookmarkEnd w:id="3"/>
      <w:r>
        <w:rPr>
          <w:rFonts w:cs="Arial" w:ascii="Arial" w:hAnsi="Arial"/>
          <w:b/>
          <w:i w:val="false"/>
          <w:color w:val="002516"/>
          <w:sz w:val="28"/>
        </w:rPr>
        <w:t>2. Terminology and definitions: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5_3124142782"/>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(a single organising framework beneath which existing products are nested and assured) is consistent with that direction.</w:t>
      </w:r>
    </w:p>
    <w:p>
      <w:pPr>
        <w:pStyle w:val="Normal"/>
        <w:rPr/>
      </w:pPr>
      <w:r>
        <w:rPr>
          <w:rFonts w:cs="Book Antiqua"/>
          <w:b w:val="false"/>
          <w:i w:val="false"/>
        </w:rPr>
        <w:t>A full assessment of existing capability and products will be completed during Phase 2.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7_3124142782"/>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9_3124142782"/>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1_3124142782"/>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3_3124142782"/>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5_3124142782"/>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2664</Words>
  <Characters>17310</Characters>
  <CharactersWithSpaces>19807</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2026-08-03T04:11:18Z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