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pBdr>
          <w:bottom w:val="single" w:sz="20" w:space="10" w:color="C62026"/>
        </w:pBdr>
        <w:spacing w:before="0" w:after="200"/>
        <w:rPr/>
      </w:pPr>
      <w:r>
        <w:rPr>
          <w:rFonts w:cs="Arial" w:ascii="Arial" w:hAnsi="Arial"/>
          <w:b/>
          <w:color w:val="000000"/>
          <w:sz w:val="52"/>
        </w:rPr>
        <w:t>Combat Mindset — 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v0.5</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478_1628147405">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480_1628147405">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482_1628147405">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484_1628147405">
            <w:r>
              <w:rPr>
                <w:webHidden/>
                <w:rStyle w:val="IndexLink"/>
                <w:i w:val="false"/>
              </w:rPr>
              <w:t>2. Terminology and definitions — decision sought</w:t>
            </w:r>
            <w:r>
              <w:rPr>
                <w:rStyle w:val="IndexLink"/>
              </w:rPr>
              <w:tab/>
              <w:t>4</w:t>
            </w:r>
          </w:hyperlink>
        </w:p>
        <w:p>
          <w:pPr>
            <w:pStyle w:val="TOC1"/>
            <w:tabs>
              <w:tab w:val="clear" w:pos="9072"/>
              <w:tab w:val="right" w:pos="9071" w:leader="dot"/>
            </w:tabs>
            <w:rPr/>
          </w:pPr>
          <w:hyperlink w:anchor="__RefHeading___Toc486_1628147405">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488_1628147405">
            <w:r>
              <w:rPr>
                <w:webHidden/>
                <w:rStyle w:val="IndexLink"/>
                <w:i w:val="false"/>
              </w:rPr>
              <w:t>4. COGCON minimum viable product</w:t>
            </w:r>
            <w:r>
              <w:rPr>
                <w:rStyle w:val="IndexLink"/>
              </w:rPr>
              <w:tab/>
              <w:t>7</w:t>
            </w:r>
          </w:hyperlink>
        </w:p>
        <w:p>
          <w:pPr>
            <w:pStyle w:val="TOC1"/>
            <w:tabs>
              <w:tab w:val="clear" w:pos="9072"/>
              <w:tab w:val="right" w:pos="9071" w:leader="dot"/>
            </w:tabs>
            <w:rPr/>
          </w:pPr>
          <w:hyperlink w:anchor="__RefHeading___Toc490_1628147405">
            <w:r>
              <w:rPr>
                <w:webHidden/>
                <w:rStyle w:val="IndexLink"/>
                <w:i w:val="false"/>
              </w:rPr>
              <w:t>5. Proposed programme of work</w:t>
            </w:r>
            <w:r>
              <w:rPr>
                <w:rStyle w:val="IndexLink"/>
              </w:rPr>
              <w:tab/>
              <w:t>7</w:t>
            </w:r>
          </w:hyperlink>
        </w:p>
        <w:p>
          <w:pPr>
            <w:pStyle w:val="TOC1"/>
            <w:tabs>
              <w:tab w:val="clear" w:pos="9072"/>
              <w:tab w:val="right" w:pos="9071" w:leader="dot"/>
            </w:tabs>
            <w:rPr/>
          </w:pPr>
          <w:hyperlink w:anchor="__RefHeading___Toc492_1628147405">
            <w:r>
              <w:rPr>
                <w:webHidden/>
                <w:rStyle w:val="IndexLink"/>
                <w:i w:val="false"/>
              </w:rPr>
              <w:t>6. Governance</w:t>
            </w:r>
            <w:r>
              <w:rPr>
                <w:rStyle w:val="IndexLink"/>
              </w:rPr>
              <w:tab/>
              <w:t>9</w:t>
            </w:r>
          </w:hyperlink>
        </w:p>
        <w:p>
          <w:pPr>
            <w:pStyle w:val="TOC1"/>
            <w:tabs>
              <w:tab w:val="clear" w:pos="9072"/>
              <w:tab w:val="right" w:pos="9071" w:leader="dot"/>
            </w:tabs>
            <w:rPr/>
          </w:pPr>
          <w:hyperlink w:anchor="__RefHeading___Toc494_1628147405">
            <w:r>
              <w:rPr>
                <w:webHidden/>
                <w:rStyle w:val="IndexLink"/>
                <w:i w:val="false"/>
              </w:rPr>
              <w:t>7. Recommendations</w:t>
            </w:r>
            <w:r>
              <w:rPr>
                <w:rStyle w:val="IndexLink"/>
              </w:rPr>
              <w:tab/>
              <w:t>9</w:t>
            </w:r>
          </w:hyperlink>
        </w:p>
        <w:p>
          <w:pPr>
            <w:pStyle w:val="TOC1"/>
            <w:tabs>
              <w:tab w:val="clear" w:pos="9072"/>
              <w:tab w:val="right" w:pos="9071" w:leader="dot"/>
            </w:tabs>
            <w:rPr/>
          </w:pPr>
          <w:hyperlink w:anchor="__RefHeading___Toc496_1628147405">
            <w:r>
              <w:rPr>
                <w:webHidden/>
                <w:rStyle w:val="IndexLink"/>
                <w:i w:val="false"/>
              </w:rPr>
              <w:t>Annex A — Initial capability and product architecture</w:t>
            </w:r>
            <w:r>
              <w:rPr>
                <w:rStyle w:val="IndexLink"/>
              </w:rPr>
              <w:tab/>
              <w:t>11</w:t>
            </w:r>
          </w:hyperlink>
          <w:r>
            <w:rPr>
              <w:rStyle w:val="IndexLink"/>
            </w:rPr>
            <w:fldChar w:fldCharType="end"/>
          </w:r>
        </w:p>
      </w:sdtContent>
    </w:sdt>
    <w:p>
      <w:pPr>
        <w:pStyle w:val="Normal"/>
        <w:widowControl/>
        <w:bidi w:val="0"/>
        <w:spacing w:lineRule="auto" w:line="276" w:before="0" w:after="120"/>
        <w:jc w:val="left"/>
        <w:rPr>
          <w:rFonts w:ascii="Book Antiqua" w:hAnsi="Book Antiqua" w:cs="Book Antiqua"/>
          <w:color w:val="000000"/>
          <w:sz w:val="22"/>
        </w:rPr>
      </w:pPr>
      <w:r>
        <w:rPr>
          <w:rFonts w:cs="Book Antiqua"/>
          <w:color w:val="000000"/>
          <w:sz w:val="22"/>
        </w:rPr>
      </w:r>
      <w:r>
        <w:br w:type="page"/>
      </w:r>
    </w:p>
    <w:p>
      <w:pPr>
        <w:pStyle w:val="Heading1"/>
        <w:pBdr>
          <w:left w:val="single" w:sz="24" w:space="8" w:color="C62026"/>
        </w:pBdr>
        <w:spacing w:before="0" w:after="160"/>
        <w:rPr/>
      </w:pPr>
      <w:bookmarkStart w:id="0" w:name="__RefHeading___Toc478_1628147405"/>
      <w:bookmarkEnd w:id="0"/>
      <w:r>
        <w:rPr>
          <w:rFonts w:cs="Arial" w:ascii="Arial" w:hAnsi="Arial"/>
          <w:b/>
          <w:i w:val="false"/>
          <w:color w:val="002516"/>
          <w:sz w:val="28"/>
        </w:rPr>
        <w:t>The Model on a Page</w:t>
      </w:r>
    </w:p>
    <w:p>
      <w:pPr>
        <w:pStyle w:val="Normal"/>
        <w:jc w:val="center"/>
        <w:rPr/>
      </w:pPr>
      <w:r>
        <w:rPr/>
        <w:drawing>
          <wp:inline distT="0" distB="0" distL="0" distR="0">
            <wp:extent cx="5544185" cy="756539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544185" cy="7565390"/>
                    </a:xfrm>
                    <a:prstGeom prst="rect">
                      <a:avLst/>
                    </a:prstGeom>
                  </pic:spPr>
                </pic:pic>
              </a:graphicData>
            </a:graphic>
          </wp:inline>
        </w:drawing>
      </w:r>
    </w:p>
    <w:p>
      <w:pPr>
        <w:pStyle w:val="Normal"/>
        <w:rPr/>
      </w:pPr>
      <w:r>
        <w:rPr/>
      </w:r>
      <w:r>
        <w:br w:type="page"/>
      </w:r>
    </w:p>
    <w:p>
      <w:pPr>
        <w:pStyle w:val="Normal"/>
        <w:spacing w:before="0" w:after="120"/>
        <w:rPr/>
      </w:pPr>
      <w:r>
        <w:rPr>
          <w:rFonts w:cs="Book Antiqua"/>
          <w:b w:val="false"/>
          <w:i w:val="false"/>
        </w:rPr>
        <w:t>*Joint NZALC and Human Performance Cell response to COMDT ACS*</w:t>
      </w:r>
    </w:p>
    <w:p>
      <w:pPr>
        <w:pStyle w:val="Heading1"/>
        <w:pBdr>
          <w:left w:val="single" w:sz="24" w:space="8" w:color="C62026"/>
        </w:pBdr>
        <w:rPr/>
      </w:pPr>
      <w:bookmarkStart w:id="1" w:name="__RefHeading___Toc480_1628147405"/>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NZALC and the Human Performance Cell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appropriate nesting of existing training products beneath the framework.</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482_1628147405"/>
      <w:bookmarkEnd w:id="2"/>
      <w:r>
        <w:rPr>
          <w:rFonts w:cs="Arial" w:ascii="Arial" w:hAnsi="Arial"/>
          <w:b/>
          <w:i w:val="false"/>
          <w:color w:val="002516"/>
          <w:sz w:val="28"/>
        </w:rPr>
        <w:t>1. The problem</w:t>
      </w:r>
    </w:p>
    <w:p>
      <w:pPr>
        <w:pStyle w:val="Normal"/>
        <w:rPr/>
      </w:pPr>
      <w:r>
        <w:rPr>
          <w:rFonts w:cs="Book Antiqua"/>
          <w:b w:val="false"/>
          <w:i w:val="false"/>
        </w:rPr>
        <w:t>Army does not currently have an endorsed, Army-wide definition, doctrine, governance or assurance model for Combat Mindset, despite the term being in active use and despite Army's drive toward an increased Warfighter Focus. The COMDT ACS guidance and the NZALC capability note reach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force employers.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 as stated in the NZALC capability note:</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must deliberately develop, and to describe its combat-specific expression.</w:t>
      </w:r>
    </w:p>
    <w:p>
      <w:pPr>
        <w:pStyle w:val="Normal"/>
        <w:rPr/>
      </w:pPr>
      <w:r>
        <w:rPr>
          <w:rFonts w:cs="Book Antiqua"/>
          <w:b w:val="false"/>
          <w:i w:val="false"/>
        </w:rPr>
        <w:t>Sufficient evidence and existing capability are available to commence governance, mapping and framework development immediately. The present gap is principally institutional and integrative.</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484_1628147405"/>
      <w:bookmarkEnd w:id="3"/>
      <w:r>
        <w:rPr>
          <w:rFonts w:cs="Arial" w:ascii="Arial" w:hAnsi="Arial"/>
          <w:b/>
          <w:i w:val="false"/>
          <w:color w:val="002516"/>
          <w:sz w:val="28"/>
        </w:rPr>
        <w:t>2. Terminology and definitions — decision sought</w:t>
      </w:r>
    </w:p>
    <w:p>
      <w:pPr>
        <w:pStyle w:val="Normal"/>
        <w:rPr/>
      </w:pPr>
      <w:r>
        <w:rPr>
          <w:rFonts w:cs="Book Antiqua"/>
          <w:b w:val="false"/>
          <w:i w:val="false"/>
        </w:rPr>
        <w:t>The COMDT ACS guidance and the NZALC capability note differ on one structural point: the relationship between Combat Mindset and Performance Under Pressure. This is the single decision required before the framework can be drafted.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combat-specific expression of Performance Under Pressure. It describes the individual and collective readiness and disposition Army seeks under the threat, adversity and uncertainty of combat.</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combat-specific expression of Performance Under Pressure: the individual and collective readiness and disposition to remain effective and act decisively, persistently, adaptively and ethically under the threat, adversity and uncertainty of combat in order to achieve the mission.</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Harder to Kill remains a proposed Warfighter Focus communication line, subject to sponsor endorsement, and does not form part of the formal definitions.</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486_1628147405"/>
      <w:bookmarkEnd w:id="4"/>
      <w:r>
        <w:rPr>
          <w:rFonts w:cs="Arial" w:ascii="Arial" w:hAnsi="Arial"/>
          <w:b/>
          <w:i w:val="false"/>
          <w:color w:val="002516"/>
          <w:sz w:val="28"/>
        </w:rPr>
        <w:t>3. What already exists</w:t>
      </w:r>
    </w:p>
    <w:p>
      <w:pPr>
        <w:pStyle w:val="Normal"/>
        <w:rPr/>
      </w:pPr>
      <w:r>
        <w:rPr>
          <w:rFonts w:cs="Book Antiqua"/>
          <w:b w:val="false"/>
          <w:i w:val="false"/>
        </w:rPr>
        <w:t>A full capability and product map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designed to train selected dimensions of performance cognition under physical and cognitive load: arousal regulation, attention, cognitive control, working memory, performance monitoring and self-knowledge. Its most mature and potentially scalable component is an adaptive dual-task training module combining a tablet-based cognitive task with a concurrent job-relevant information task, progressive difficulty and performance feedback.</w:t>
      </w:r>
    </w:p>
    <w:p>
      <w:pPr>
        <w:pStyle w:val="Normal"/>
        <w:rPr/>
      </w:pPr>
      <w:r>
        <w:rPr>
          <w:rFonts w:cs="Book Antiqua"/>
          <w:b w:val="false"/>
          <w:i w:val="false"/>
        </w:rPr>
        <w:t>COGCON has demonstrated feasibility, participant acceptability and promising training trends in limited military cohorts. It has not yet been validated as a measure of operational readiness or proven through controlled research to improve real-world military performance. Its current status is therefore that of an emerging, evidence-informed training product rather than an endorsed Army-wide capability system.</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Phase 1 mapping.</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488_1628147405"/>
      <w:bookmarkEnd w:id="5"/>
      <w:r>
        <w:rPr>
          <w:rFonts w:cs="Arial" w:ascii="Arial" w:hAnsi="Arial"/>
          <w:b/>
          <w:i w:val="false"/>
          <w:color w:val="002516"/>
          <w:sz w:val="28"/>
        </w:rPr>
        <w:t>4. COGCON minimum viable product</w:t>
      </w:r>
    </w:p>
    <w:p>
      <w:pPr>
        <w:pStyle w:val="Normal"/>
        <w:rPr/>
      </w:pPr>
      <w:r>
        <w:rPr>
          <w:rFonts w:cs="Book Antiqua"/>
          <w:b w:val="false"/>
          <w:i w:val="false"/>
        </w:rPr>
        <w:t>For the purposes of the Combat Mindset programme of work, COGCON will initially be treated as a developmental minimum viable product within the performance-cognition pillar of the Army Combat Mindset Framework, contributing to selected elements of Performance Under Pressure.</w:t>
      </w:r>
    </w:p>
    <w:p>
      <w:pPr>
        <w:pStyle w:val="Normal"/>
        <w:rPr/>
      </w:pPr>
      <w:r>
        <w:rPr>
          <w:rFonts w:cs="Book Antiqua"/>
          <w:b w:val="false"/>
          <w:i w:val="false"/>
        </w:rPr>
        <w:t>The COGCON MVP comprises: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short adaptive dual-task activity embedded within existing physical or military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tablet-delivered attention and inhibition task;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concurrent prerecorded operational information task, such as an audio brief;</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immediate recall questions or objective job-task scoring;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controlled difficulty levels and defined progression criteria;</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selected arousal-regulation techniques;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basic performance feedback and longitudinal training records;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train-the-trainer and assurance package allowing delivery by existing training staff.</w:t>
      </w:r>
    </w:p>
    <w:p>
      <w:pPr>
        <w:pStyle w:val="Normal"/>
        <w:rPr/>
      </w:pPr>
      <w:r>
        <w:rPr>
          <w:rFonts w:cs="Book Antiqua"/>
          <w:b w:val="false"/>
          <w:i w:val="false"/>
        </w:rPr>
        <w:t>The MVP does not constitute: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standalone Army course;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complete Combat Mindset or Performance Under Pressure programme;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selection, promotion or diagnostic tool;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validated measure of operational readiness; 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commitment for HPC personnel to deliver the product across Army.</w:t>
      </w:r>
    </w:p>
    <w:p>
      <w:pPr>
        <w:pStyle w:val="Normal"/>
        <w:rPr/>
      </w:pPr>
      <w:r>
        <w:rPr>
          <w:rFonts w:cs="Book Antiqua"/>
          <w:b w:val="false"/>
          <w:i w:val="false"/>
        </w:rPr>
        <w:t>HPC will retain technical stewardship of the COGCON method and provide specialist advice, product development, train-the-trainer support and proportionate assurance within available capacity. Routine delivery, if subsequently approved, will be undertaken through existing training establishments, instructors and physical-training staff.</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490_1628147405"/>
      <w:bookmarkEnd w:id="6"/>
      <w:r>
        <w:rPr>
          <w:rFonts w:cs="Arial" w:ascii="Arial" w:hAnsi="Arial"/>
          <w:b/>
          <w:i w:val="false"/>
          <w:color w:val="002516"/>
          <w:sz w:val="28"/>
        </w:rPr>
        <w:t>5. Proposed programme of work</w:t>
      </w:r>
    </w:p>
    <w:p>
      <w:pPr>
        <w:pStyle w:val="Heading2"/>
        <w:rPr/>
      </w:pPr>
      <w:r>
        <w:rPr>
          <w:rFonts w:cs="Arial" w:ascii="Arial" w:hAnsi="Arial"/>
          <w:b/>
          <w:i w:val="false"/>
          <w:color w:val="000000"/>
          <w:sz w:val="22"/>
        </w:rPr>
        <w:t>Phase 0 — Governance and definition (by end July 2026)</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 Capability and product mapping (August 2026)</w:t>
      </w:r>
    </w:p>
    <w:p>
      <w:pPr>
        <w:pStyle w:val="Normal"/>
        <w:rPr/>
      </w:pPr>
      <w:r>
        <w:rPr>
          <w:rFonts w:cs="Book Antiqua"/>
          <w:b w:val="false"/>
          <w:i w:val="false"/>
        </w:rPr>
        <w:t>Map existing doctrine, content, products, courses, instructor capability, delivery activity, evidence, ownership and assurance arrangements across ACS, NZALC, HPC, NZDF Psychology, ILD, training establishments and selected force employers. The mapping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mapping will identify which products contribute to the broader Performance Under Pressure capability and which support its combat-specific expression. COGCON will be assessed as one developmental product within this map, with particular attention to its MVP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 Framework and product architecture (September 2026)</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integrated capability pillars;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Existing products, including the NZALC Performance Under Pressure package and the COGCON MVP, will be mapped beneath the relevant capability pillars rather than treated as the framework itself.</w:t>
      </w:r>
    </w:p>
    <w:p>
      <w:pPr>
        <w:pStyle w:val="Heading2"/>
        <w:rPr/>
      </w:pPr>
      <w:r>
        <w:rPr>
          <w:rFonts w:cs="Arial" w:ascii="Arial" w:hAnsi="Arial"/>
          <w:b/>
          <w:i w:val="false"/>
          <w:color w:val="000000"/>
          <w:sz w:val="22"/>
        </w:rPr>
        <w:t>Phase 3 — Stakeholder forum (September 2026)</w:t>
      </w:r>
    </w:p>
    <w:p>
      <w:pPr>
        <w:pStyle w:val="Normal"/>
        <w:rPr/>
      </w:pPr>
      <w:r>
        <w:rPr>
          <w:rFonts w:cs="Book Antiqua"/>
          <w:b w:val="false"/>
          <w:i w:val="false"/>
        </w:rPr>
        <w:t>Convene ACS, NZALC, HPC, NZDF Psychology, ILD, selected training providers and force employers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 Report back (November 2026)</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map; the proposed governance and assurance model; and a prioritised implementation plan. The report will identify whether COGCON should remain a developmental product; undergo further controlled evaluation; be integrated selectively into existing training; be prepared for broader scaling; or cease or change direction.</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92_1628147405"/>
      <w:bookmarkEnd w:id="7"/>
      <w:r>
        <w:rPr>
          <w:rFonts w:cs="Arial" w:ascii="Arial" w:hAnsi="Arial"/>
          <w:b/>
          <w:i w:val="false"/>
          <w:color w:val="002516"/>
          <w:sz w:val="28"/>
        </w:rPr>
        <w:t>6.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development and delivery coordinator — ACS, coordinating the framework, developmental architecture and recognised training products,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8" w:name="__RefHeading___Toc494_1628147405"/>
      <w:bookmarkEnd w:id="8"/>
      <w:r>
        <w:rPr>
          <w:rFonts w:cs="Arial" w:ascii="Arial" w:hAnsi="Arial"/>
          <w:b/>
          <w:i w:val="false"/>
          <w:color w:val="002516"/>
          <w:sz w:val="28"/>
        </w:rPr>
        <w:t>7. Recommendations</w:t>
      </w:r>
    </w:p>
    <w:p>
      <w:pPr>
        <w:pStyle w:val="Normal"/>
        <w:rPr/>
      </w:pPr>
      <w:r>
        <w:rPr>
          <w:rFonts w:cs="Book Antiqua"/>
          <w:b w:val="false"/>
          <w:i w:val="false"/>
        </w:rPr>
        <w:t>It is recommended that COMDT ACS:</w:t>
      </w:r>
    </w:p>
    <w:p>
      <w:pPr>
        <w:pStyle w:val="Normal"/>
        <w:keepNext w:val="true"/>
        <w:tabs>
          <w:tab w:val="clear" w:pos="720"/>
          <w:tab w:val="left" w:pos="425" w:leader="none"/>
        </w:tabs>
        <w:spacing w:before="80" w:after="40"/>
        <w:ind w:hanging="425" w:left="425"/>
        <w:rPr/>
      </w:pPr>
      <w:r>
        <w:rPr>
          <w:rFonts w:cs="Arial" w:ascii="Arial" w:hAnsi="Arial"/>
          <w:b/>
        </w:rPr>
        <w:t>1.</w:t>
        <w:tab/>
      </w:r>
      <w:r>
        <w:rPr>
          <w:rFonts w:cs="Book Antiqua"/>
          <w:b/>
          <w:i w:val="false"/>
        </w:rPr>
        <w:t>Endorse the problem statement</w:t>
      </w:r>
      <w:r>
        <w:rPr>
          <w:rFonts w:cs="Book Antiqua"/>
          <w:b w:val="false"/>
          <w:i w:val="false"/>
        </w:rPr>
        <w:t xml:space="preserve"> at paragraph 1.</w:t>
      </w:r>
    </w:p>
    <w:p>
      <w:pPr>
        <w:pStyle w:val="Normal"/>
        <w:keepNext w:val="true"/>
        <w:tabs>
          <w:tab w:val="clear" w:pos="720"/>
          <w:tab w:val="left" w:pos="425" w:leader="none"/>
        </w:tabs>
        <w:spacing w:before="80" w:after="40"/>
        <w:ind w:hanging="425" w:left="425"/>
        <w:rPr/>
      </w:pPr>
      <w:r>
        <w:rPr>
          <w:rFonts w:cs="Arial" w:ascii="Arial" w:hAnsi="Arial"/>
          <w:b/>
        </w:rPr>
        <w:t>2.</w:t>
        <w:tab/>
      </w:r>
      <w:r>
        <w:rPr>
          <w:rFonts w:cs="Book Antiqua"/>
          <w:b/>
          <w:i w:val="false"/>
        </w:rPr>
        <w:t>Endorse Combat Mindset as the combat-specific expression of Performance Under Pressure</w:t>
      </w:r>
      <w:r>
        <w:rPr>
          <w:rFonts w:cs="Book Antiqua"/>
          <w:b w:val="false"/>
          <w:i w:val="false"/>
        </w:rPr>
        <w:t>, and Performance Under Pressure as the enabling, trainable individual and collective human-performance capability.</w:t>
      </w:r>
    </w:p>
    <w:p>
      <w:pPr>
        <w:pStyle w:val="Normal"/>
        <w:keepNext w:val="true"/>
        <w:tabs>
          <w:tab w:val="clear" w:pos="720"/>
          <w:tab w:val="left" w:pos="425" w:leader="none"/>
        </w:tabs>
        <w:spacing w:before="80" w:after="40"/>
        <w:ind w:hanging="425" w:left="425"/>
        <w:rPr/>
      </w:pPr>
      <w:r>
        <w:rPr>
          <w:rFonts w:cs="Arial" w:ascii="Arial" w:hAnsi="Arial"/>
          <w:b/>
        </w:rPr>
        <w:t>3.</w:t>
        <w:tab/>
      </w:r>
      <w:r>
        <w:rPr>
          <w:rFonts w:cs="Book Antiqua"/>
          <w:b/>
          <w:i w:val="false"/>
        </w:rPr>
        <w:t>Endorse the formal definitions</w:t>
      </w:r>
      <w:r>
        <w:rPr>
          <w:rFonts w:cs="Book Antiqua"/>
          <w:b w:val="false"/>
          <w:i w:val="false"/>
        </w:rPr>
        <w:t xml:space="preserve"> at paragraph 2 as the baseline for staffing.</w:t>
      </w:r>
    </w:p>
    <w:p>
      <w:pPr>
        <w:pStyle w:val="Normal"/>
        <w:keepNext w:val="true"/>
        <w:tabs>
          <w:tab w:val="clear" w:pos="720"/>
          <w:tab w:val="left" w:pos="425" w:leader="none"/>
        </w:tabs>
        <w:spacing w:before="80" w:after="40"/>
        <w:ind w:hanging="425" w:left="425"/>
        <w:rPr/>
      </w:pPr>
      <w:r>
        <w:rPr>
          <w:rFonts w:cs="Arial" w:ascii="Arial" w:hAnsi="Arial"/>
          <w:b/>
        </w:rPr>
        <w:t>4.</w:t>
        <w:tab/>
      </w:r>
      <w:r>
        <w:rPr>
          <w:rFonts w:cs="Book Antiqua"/>
          <w:b/>
          <w:i w:val="false"/>
        </w:rPr>
        <w:t>Endorse the Army Combat Mindset Framework</w:t>
      </w:r>
      <w:r>
        <w:rPr>
          <w:rFonts w:cs="Book Antiqua"/>
          <w:b w:val="false"/>
          <w:i w:val="false"/>
        </w:rPr>
        <w:t xml:space="preserve"> as the organising model through which Army will define, develop, integrate and assure the capabilities, products and governance arrangements that enable Combat Mindset.</w:t>
      </w:r>
    </w:p>
    <w:p>
      <w:pPr>
        <w:pStyle w:val="Normal"/>
        <w:keepNext w:val="true"/>
        <w:tabs>
          <w:tab w:val="clear" w:pos="720"/>
          <w:tab w:val="left" w:pos="425" w:leader="none"/>
        </w:tabs>
        <w:spacing w:before="80" w:after="40"/>
        <w:ind w:hanging="425" w:left="425"/>
        <w:rPr/>
      </w:pPr>
      <w:r>
        <w:rPr>
          <w:rFonts w:cs="Arial" w:ascii="Arial" w:hAnsi="Arial"/>
          <w:b/>
        </w:rPr>
        <w:t>5.</w:t>
        <w:tab/>
      </w:r>
      <w:r>
        <w:rPr>
          <w:rFonts w:cs="Book Antiqua"/>
          <w:b/>
          <w:i w:val="false"/>
        </w:rPr>
        <w:t>Note that existing programmes and products will be mapped beneath the framework's capability pillars</w:t>
      </w:r>
      <w:r>
        <w:rPr>
          <w:rFonts w:cs="Book Antiqua"/>
          <w:b w:val="false"/>
          <w:i w:val="false"/>
        </w:rPr>
        <w:t xml:space="preserve"> and will not constitute the framework in isolation.</w:t>
      </w:r>
    </w:p>
    <w:p>
      <w:pPr>
        <w:pStyle w:val="Normal"/>
        <w:keepNext w:val="true"/>
        <w:tabs>
          <w:tab w:val="clear" w:pos="720"/>
          <w:tab w:val="left" w:pos="425" w:leader="none"/>
        </w:tabs>
        <w:spacing w:before="80" w:after="40"/>
        <w:ind w:hanging="425" w:left="425"/>
        <w:rPr/>
      </w:pPr>
      <w:r>
        <w:rPr>
          <w:rFonts w:cs="Arial" w:ascii="Arial" w:hAnsi="Arial"/>
          <w:b/>
        </w:rPr>
        <w:t>6.</w:t>
        <w:tab/>
      </w:r>
      <w:r>
        <w:rPr>
          <w:rFonts w:cs="Book Antiqua"/>
          <w:b/>
          <w:i w:val="false"/>
        </w:rPr>
        <w:t>Endorse COGCON's interim status as a developmental MVP</w:t>
      </w:r>
      <w:r>
        <w:rPr>
          <w:rFonts w:cs="Book Antiqua"/>
          <w:b w:val="false"/>
          <w:i w:val="false"/>
        </w:rPr>
        <w:t xml:space="preserve"> within the performance-cognition pillar.</w:t>
      </w:r>
    </w:p>
    <w:p>
      <w:pPr>
        <w:pStyle w:val="Normal"/>
        <w:keepNext w:val="true"/>
        <w:tabs>
          <w:tab w:val="clear" w:pos="720"/>
          <w:tab w:val="left" w:pos="425" w:leader="none"/>
        </w:tabs>
        <w:spacing w:before="80" w:after="40"/>
        <w:ind w:hanging="425" w:left="425"/>
        <w:rPr/>
      </w:pPr>
      <w:r>
        <w:rPr>
          <w:rFonts w:cs="Arial" w:ascii="Arial" w:hAnsi="Arial"/>
          <w:b/>
        </w:rPr>
        <w:t>7.</w:t>
        <w:tab/>
      </w:r>
      <w:r>
        <w:rPr>
          <w:rFonts w:cs="Book Antiqua"/>
          <w:b/>
          <w:i w:val="false"/>
        </w:rPr>
        <w:t>Confirm the governance model</w:t>
      </w:r>
      <w:r>
        <w:rPr>
          <w:rFonts w:cs="Book Antiqua"/>
          <w:b w:val="false"/>
          <w:i w:val="false"/>
        </w:rPr>
        <w:t xml:space="preserve"> at paragraph 6, including COMDT ACS as interim capability integrator pending confirmation of the Army Sponsor, and HPC as COGCON product steward and performance-cognition adviser.</w:t>
      </w:r>
    </w:p>
    <w:p>
      <w:pPr>
        <w:pStyle w:val="Normal"/>
        <w:keepNext w:val="true"/>
        <w:tabs>
          <w:tab w:val="clear" w:pos="720"/>
          <w:tab w:val="left" w:pos="425" w:leader="none"/>
        </w:tabs>
        <w:spacing w:before="80" w:after="40"/>
        <w:ind w:hanging="425" w:left="425"/>
        <w:rPr/>
      </w:pPr>
      <w:r>
        <w:rPr>
          <w:rFonts w:cs="Arial" w:ascii="Arial" w:hAnsi="Arial"/>
          <w:b/>
        </w:rPr>
        <w:t>8.</w:t>
        <w:tab/>
      </w:r>
      <w:r>
        <w:rPr>
          <w:rFonts w:cs="Book Antiqua"/>
          <w:b/>
          <w:i w:val="false"/>
        </w:rPr>
        <w:t>Approve the programme of work</w:t>
      </w:r>
      <w:r>
        <w:rPr>
          <w:rFonts w:cs="Book Antiqua"/>
          <w:b w:val="false"/>
          <w:i w:val="false"/>
        </w:rPr>
        <w:t xml:space="preserve"> at paragraph 5, including capability and product mapping, framework development and stakeholder engagement.</w:t>
      </w:r>
    </w:p>
    <w:p>
      <w:pPr>
        <w:pStyle w:val="Normal"/>
        <w:keepNext w:val="true"/>
        <w:tabs>
          <w:tab w:val="clear" w:pos="720"/>
          <w:tab w:val="left" w:pos="425" w:leader="none"/>
        </w:tabs>
        <w:spacing w:before="80" w:after="40"/>
        <w:ind w:hanging="425" w:left="425"/>
        <w:rPr/>
      </w:pPr>
      <w:r>
        <w:rPr>
          <w:rFonts w:cs="Arial" w:ascii="Arial" w:hAnsi="Arial"/>
          <w:b/>
        </w:rPr>
        <w:t>9.</w:t>
        <w:tab/>
      </w:r>
      <w:r>
        <w:rPr>
          <w:rFonts w:cs="Book Antiqua"/>
          <w:b/>
          <w:i w:val="false"/>
        </w:rPr>
        <w:t>Direct that the November 2026 report provide</w:t>
      </w:r>
      <w:r>
        <w:rPr>
          <w:rFonts w:cs="Book Antiqua"/>
          <w:b w:val="false"/>
          <w:i w:val="false"/>
        </w:rPr>
        <w:t xml:space="preserve"> the endorsed definitions and confirmed relationship between Combat Mindset and Performance Under Pressure; Framework v1.0 and its agreed architecture; the validated capability and product map; a governance and assurance model; an assessment of COGCON's evidence, scalability, resource requirements and appropriate future role; and a prioritised implementation plan.</w:t>
      </w:r>
    </w:p>
    <w:p>
      <w:pPr>
        <w:pStyle w:val="Normal"/>
        <w:rPr/>
      </w:pPr>
      <w:r>
        <w:rPr/>
      </w:r>
      <w:r>
        <w:br w:type="page"/>
      </w:r>
    </w:p>
    <w:p>
      <w:pPr>
        <w:pStyle w:val="Heading1"/>
        <w:pBdr>
          <w:left w:val="single" w:sz="24" w:space="8" w:color="C62026"/>
        </w:pBdr>
        <w:spacing w:before="0" w:after="160"/>
        <w:rPr/>
      </w:pPr>
      <w:bookmarkStart w:id="9" w:name="__RefHeading___Toc496_1628147405"/>
      <w:bookmarkEnd w:id="9"/>
      <w:r>
        <w:rPr>
          <w:rFonts w:cs="Arial" w:ascii="Arial" w:hAnsi="Arial"/>
          <w:b/>
          <w:i w:val="false"/>
          <w:color w:val="002516"/>
          <w:sz w:val="28"/>
        </w:rPr>
        <w:t>Annex A — Initial capability and product architecture</w:t>
      </w:r>
    </w:p>
    <w:p>
      <w:pPr>
        <w:pStyle w:val="Heading2"/>
        <w:rPr/>
      </w:pPr>
      <w:r>
        <w:rPr>
          <w:rFonts w:cs="Arial" w:ascii="Arial" w:hAnsi="Arial"/>
          <w:b/>
          <w:i w:val="false"/>
          <w:color w:val="000000"/>
          <w:sz w:val="22"/>
        </w:rPr>
        <w:t>A1. Doctrinal hierarchy</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6"/>
        <w:gridCol w:w="4535"/>
      </w:tblGrid>
      <w:tr>
        <w:trPr>
          <w:tblHeader w:val="true"/>
          <w:cantSplit w:val="true"/>
        </w:trPr>
        <w:tc>
          <w:tcPr>
            <w:tcW w:w="4536"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Hierarchy</w:t>
            </w:r>
          </w:p>
        </w:tc>
        <w:tc>
          <w:tcPr>
            <w:tcW w:w="4535"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Composition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Warfighting imperative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Individuals, teams and leaders remain effective and act decisively, persistently, adaptively and ethically under combat conditions</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Combat-specific expression</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Combat Mindset</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Enabling human-performance capability</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Performance Under Pressure</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Organising model</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Army Combat Mindset Framework</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Capability pillars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Leadership; mental skills; performance cognition; resilience and recovery; physical performance; professional identity and values; individual and collective exposure to pressure</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Training products and methods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NZALC Performance Under Pressure package; COGCON MVP; NZDF Psychology products; scenario and experiential training; physical conditioning; structured reflection and recovery; other products identified during Phase 1 mapping</w:t>
            </w:r>
          </w:p>
        </w:tc>
      </w:tr>
    </w:tbl>
    <w:p>
      <w:pPr>
        <w:pStyle w:val="Normal"/>
        <w:spacing w:before="0" w:after="160"/>
        <w:rPr/>
      </w:pPr>
      <w:r>
        <w:rPr/>
      </w:r>
    </w:p>
    <w:p>
      <w:pPr>
        <w:pStyle w:val="Normal"/>
        <w:pBdr>
          <w:left w:val="single" w:sz="28" w:space="8" w:color="C62026"/>
        </w:pBdr>
        <w:shd w:val="clear" w:color="auto" w:fill="CDD2B7"/>
        <w:spacing w:before="200" w:after="200"/>
        <w:ind w:left="340" w:right="340"/>
        <w:rPr/>
      </w:pPr>
      <w:r>
        <w:rPr>
          <w:rFonts w:cs="Arial" w:ascii="Arial" w:hAnsi="Arial"/>
          <w:b/>
          <w:i w:val="false"/>
        </w:rPr>
        <w:t>Warfighting imperative → Combat Mindset → enabled by Performance Under Pressure → developed and organised through the Army Combat Mindset Framework → delivered through capability pillars, products and methods</w:t>
      </w:r>
    </w:p>
    <w:p>
      <w:pPr>
        <w:pStyle w:val="Heading2"/>
        <w:rPr/>
      </w:pPr>
      <w:r>
        <w:rPr>
          <w:rFonts w:cs="Arial" w:ascii="Arial" w:hAnsi="Arial"/>
          <w:b/>
          <w:i w:val="false"/>
          <w:color w:val="000000"/>
          <w:sz w:val="22"/>
        </w:rPr>
        <w:t>A2. COGCON current nesting</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6"/>
        <w:gridCol w:w="4535"/>
      </w:tblGrid>
      <w:tr>
        <w:trPr>
          <w:tblHeader w:val="true"/>
          <w:cantSplit w:val="true"/>
        </w:trPr>
        <w:tc>
          <w:tcPr>
            <w:tcW w:w="4536"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Attribute</w:t>
            </w:r>
          </w:p>
        </w:tc>
        <w:tc>
          <w:tcPr>
            <w:tcW w:w="4535"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COGCON current position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Capability pillar</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Performance cognition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Primary level</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Individual / Lead Self</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Secondary applicability</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Selected Lead Teams activity</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status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Developmental MVP</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Relationship to Combat Mindset</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Develops selected elements of Performance Under Pressure that may contribute to Combat Mindset when integrated within broader warfighting, leadership, values, physical and collective development</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Current contribution</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Arousal regulation, attention, cognitive control, working memory, performance monitoring and adaptive dual-task conditioning</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Current evidence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Feasibility, acceptability and promising training trends</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Not yet established</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Causal effectiveness, far transfer, operational-readiness validity and Army-wide scalability</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steward</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Human Performance Cell</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Likely delivery model</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Existing instructors or physical-training staff following standardisation and train-the-trainer preparation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Assurance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HPC for COGCON product integrity; broader framework assurance through the agreed governance system</w:t>
            </w:r>
          </w:p>
        </w:tc>
      </w:tr>
    </w:tbl>
    <w:p>
      <w:pPr>
        <w:pStyle w:val="Normal"/>
        <w:spacing w:before="0" w:after="160"/>
        <w:rPr/>
      </w:pPr>
      <w:r>
        <w:rPr/>
      </w:r>
    </w:p>
    <w:p>
      <w:pPr>
        <w:pStyle w:val="Heading2"/>
        <w:rPr/>
      </w:pPr>
      <w:r>
        <w:rPr>
          <w:rFonts w:cs="Arial" w:ascii="Arial" w:hAnsi="Arial"/>
          <w:b/>
          <w:i w:val="false"/>
          <w:color w:val="000000"/>
          <w:sz w:val="22"/>
        </w:rPr>
        <w:t>A3. Division of functions</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Function</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Lead</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Output</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Define and govern</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Army Sponsor / ACS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Endorsed doctrine, definitions, policy direction and capability outcomes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Integrate capability</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ACS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Framework, product architecture, stakeholder coordination and implementation priorities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Develop products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product owner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design, protocols, instructor materials and updates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Provide domain advice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technical or professional adviser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Specialist advice within leadership, psychology, cognition, learning design, physical performance and other domains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Deliver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Approved training establishments, units and existing instructor workforces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Routine delivery of recognised products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Measure training performance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Delivery organisation, using approved methods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Proportionate training feedback and product-level performance data</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Evaluate product effectiveness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owner, with independent evaluation or research support</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Evidence of feasibility, effectiveness, transfer and scalability</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Assure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Layered governance and domain authorities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Doctrine, evidence, professional, learning, delivery and operational assurance</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Review and recover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leadership and training systems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Reflection, feedback, recovery and developmental planning</w:t>
            </w:r>
          </w:p>
        </w:tc>
      </w:tr>
    </w:tbl>
    <w:p>
      <w:pPr>
        <w:pStyle w:val="Normal"/>
        <w:spacing w:before="0" w:after="160"/>
        <w:rPr/>
      </w:pPr>
      <w:r>
        <w:rPr/>
      </w:r>
    </w:p>
    <w:p>
      <w:pPr>
        <w:pStyle w:val="Heading2"/>
        <w:rPr/>
      </w:pPr>
      <w:r>
        <w:rPr>
          <w:rFonts w:cs="Arial" w:ascii="Arial" w:hAnsi="Arial"/>
          <w:b/>
          <w:i w:val="false"/>
          <w:color w:val="000000"/>
          <w:sz w:val="22"/>
        </w:rPr>
        <w:t>A4. Shared developmental models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Prepare–Perform–Recover provides a common developmental and delivery rhythm across recognised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Lead Self to Lead Systems provides the developmental progression from individual capability to collective, leadership and systems application: individual conditioning is likely to be densest in initial and individual training, while leadership, team and systems application deepens across the leadership continuum.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currently contributes principally to selected Prepare and Perform activities within the performance-cognition pillar. NZALC and other leadership-development products provide broader preparation, application, structured review and recovery.</w:t>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417" w:gutter="0" w:header="624" w:top="1361" w:footer="624"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13</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13</Pages>
  <Words>2696</Words>
  <Characters>17869</Characters>
  <CharactersWithSpaces>20382</CharactersWithSpaces>
  <Paragraphs>205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2026-07-22T23:35:53Z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