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80" w:after="1280"/>
        <w:rPr/>
      </w:pPr>
      <w:r>
        <w:rPr/>
        <w:drawing>
          <wp:inline distT="0" distB="0" distL="0" distR="0">
            <wp:extent cx="2160270" cy="5213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20" w:space="10" w:color="C62026"/>
        </w:pBdr>
        <w:spacing w:before="0" w:after="200"/>
        <w:rPr/>
      </w:pPr>
      <w:r>
        <w:rPr>
          <w:rFonts w:cs="Arial" w:ascii="Arial" w:hAnsi="Arial"/>
          <w:b/>
          <w:color w:val="000000"/>
          <w:sz w:val="52"/>
        </w:rPr>
        <w:t>Combat Mindset — Proposed Way Forward</w:t>
      </w:r>
    </w:p>
    <w:p>
      <w:pPr>
        <w:pStyle w:val="Normal"/>
        <w:spacing w:before="120" w:after="280"/>
        <w:rPr/>
      </w:pPr>
      <w:r>
        <w:rPr>
          <w:rFonts w:cs="Arial" w:ascii="Arial" w:hAnsi="Arial"/>
          <w:color w:val="002516"/>
          <w:sz w:val="26"/>
        </w:rPr>
        <w:t>Joint NZALC and Human Performance Cell response to COMDT ACS</w:t>
      </w:r>
    </w:p>
    <w:p>
      <w:pPr>
        <w:pStyle w:val="Normal"/>
        <w:spacing w:before="0" w:after="1920"/>
        <w:rPr/>
      </w:pPr>
      <w:r>
        <w:rPr>
          <w:rFonts w:cs="Arial" w:ascii="Arial" w:hAnsi="Arial"/>
          <w:b/>
          <w:color w:val="C62026"/>
          <w:spacing w:val="60"/>
          <w:sz w:val="30"/>
        </w:rPr>
        <w:t>HARDER TO KILL</w:t>
      </w:r>
    </w:p>
    <w:p>
      <w:pPr>
        <w:pStyle w:val="Normal"/>
        <w:pBdr>
          <w:top w:val="single" w:sz="6" w:space="6" w:color="A89662"/>
        </w:pBdr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Reference</w:t>
        <w:tab/>
      </w:r>
      <w:r>
        <w:rPr>
          <w:rFonts w:cs="Arial" w:ascii="Arial" w:hAnsi="Arial"/>
          <w:color w:val="000000"/>
          <w:sz w:val="20"/>
        </w:rPr>
        <w:t>NZALC/HPC 2026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Date</w:t>
        <w:tab/>
      </w:r>
      <w:r>
        <w:rPr>
          <w:rFonts w:cs="Arial" w:ascii="Arial" w:hAnsi="Arial"/>
          <w:color w:val="000000"/>
          <w:sz w:val="20"/>
        </w:rPr>
        <w:t>July 2026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Originator</w:t>
        <w:tab/>
      </w:r>
      <w:r>
        <w:rPr>
          <w:rFonts w:cs="Arial" w:ascii="Arial" w:hAnsi="Arial"/>
          <w:color w:val="000000"/>
          <w:sz w:val="20"/>
        </w:rPr>
        <w:t>Major M Coom, CI NZALC · Jacques Rousseau, Human Performance Cell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Version</w:t>
        <w:tab/>
      </w:r>
      <w:r>
        <w:rPr>
          <w:rFonts w:cs="Arial" w:ascii="Arial" w:hAnsi="Arial"/>
          <w:color w:val="000000"/>
          <w:sz w:val="20"/>
        </w:rPr>
        <w:t>Draft v0.1</w:t>
      </w:r>
    </w:p>
    <w:p>
      <w:pPr>
        <w:pStyle w:val="Normal"/>
        <w:pBdr>
          <w:bottom w:val="single" w:sz="6" w:space="6" w:color="A89662"/>
        </w:pBdr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Distribution</w:t>
        <w:tab/>
      </w:r>
      <w:r>
        <w:rPr>
          <w:rFonts w:cs="Arial" w:ascii="Arial" w:hAnsi="Arial"/>
          <w:color w:val="000000"/>
          <w:sz w:val="20"/>
        </w:rPr>
        <w:t>COMDT ACS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cs="Book Antiqua"/>
          <w:b w:val="false"/>
          <w:i w:val="false"/>
        </w:rPr>
        <w:t>*Joint NZALC and Human Performance Cell response to COMDT ACS*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This paper responds to COMDT ACS direction of 16 July 2026 for NZALC and the Human Performance Cell to jointly develop a strategy to close the Combat Mindset doctrine and policy gap. It proposes an agreed problem statement, a terminology construct for decision, a joint programme of work, and governance arrangements.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References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A. COMDT ACS email — Combat Mindset, dated 16 July 2026.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B. COMDT ACS — Combat Mindset Guidance [Draft], July 2026.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C. NZALC Draft Capability Note — Performance Under Pressure and Combat Mindset in the New Zealand Army, July 2026.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1. The problem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Reference A identifies that Army has no defined doctrine or policy supporting Combat Mindset, despite the term being in active use and despite Army's drive toward an increased Warfighter Focus. References B and C independently reach the same diagnosis:</w:t>
      </w:r>
    </w:p>
    <w:p>
      <w:pPr>
        <w:pStyle w:val="Normal"/>
        <w:spacing w:before="120" w:after="160"/>
        <w:ind w:left="567" w:right="567"/>
        <w:rPr/>
      </w:pPr>
      <w:r>
        <w:rPr>
          <w:rFonts w:cs="Book Antiqua"/>
          <w:b w:val="false"/>
          <w:i/>
        </w:rPr>
        <w:t>The challenge is not a lack of content. It is a lack of visibility, integration, doctrine and strategic ownership across the substantial capability that already exists within ACS, NZALC, the Human Performance Cell, NZDF Psychology and ILD.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underlying operational problem remains as stated at Reference C:</w:t>
      </w:r>
    </w:p>
    <w:p>
      <w:pPr>
        <w:pStyle w:val="Normal"/>
        <w:spacing w:before="120" w:after="160"/>
        <w:ind w:left="567" w:right="567"/>
        <w:rPr/>
      </w:pPr>
      <w:r>
        <w:rPr>
          <w:rFonts w:cs="Book Antiqua"/>
          <w:b w:val="false"/>
          <w:i/>
        </w:rPr>
        <w:t>Under operational pressure, trained individuals and teams do not always retain access to their full capability.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NZALC and HPC agree this diagnosis requires no further analysis before work begins. The gap is institutional, not intellectual.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2. Terminology — decision sought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References B and C differ on one structural point: which term sits at the top of the hierarchy. This is the single decision required before the framework can be drafted. Two options are offered.</w:t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Option 1 — Combat Mindset as the brand; Performance Under Pressure as the mechanism (recommended)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 xml:space="preserve">Combat Mindset is the Army-owned banner and orienting purpose, aligned to Warfighter Focus and carrying the brand promise: </w:t>
      </w:r>
      <w:r>
        <w:rPr>
          <w:rFonts w:cs="Book Antiqua"/>
          <w:b/>
          <w:i w:val="false"/>
        </w:rPr>
        <w:t>Harder to Kill</w:t>
      </w:r>
      <w:r>
        <w:rPr>
          <w:rFonts w:cs="Book Antiqua"/>
          <w:b w:val="false"/>
          <w:i w:val="false"/>
        </w:rPr>
        <w:t>. Performance Under Pressure is the doctrinal mechanism that sits beneath it — the trained individual and collective capacity the brand runs on.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200" w:after="200"/>
        <w:ind w:left="340" w:right="340"/>
        <w:rPr/>
      </w:pPr>
      <w:r>
        <w:rPr>
          <w:rFonts w:cs="Book Antiqua"/>
          <w:b/>
          <w:i w:val="false"/>
        </w:rPr>
        <w:t>Combat Mindset is why: acting decisively, persistently and ethically in combat — Harder to Kill. Performance Under Pressure is how: the trained capacity to prepare for, remain effective through, adapt within and recover from pressure.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Preserves Combat Mindset as the recognisable, operationally credible Army brand, with Harder to Kill as its memorable, warfighter-focused promise.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Keeps the underlying doctrine applicable Army-wide — command, crisis response, garrison leadership and high-risk technical activity, where pressure exists without an enemy.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Guards against Combat Mindset being misread as aggression or motivation alone.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Allows the doctrinal construct to nest cleanly beneath the brand in doctrine, learning design and assessment.</w:t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Option 2 — Combat Mindset as the umbrella capability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Combat Mindset is the overarching capability, integrating leadership, human performance, resilience, mental skills and performance cognition, with performance under pressure expressed as its intended effect.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Maximises simplicity: one term, one capability, one framework.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Risks excluding the majority of Army activity that is demanding but not combat, and re-importing the definitional confusion identified at Reference C.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Both options deliver Reference B's end state. NZALC and HPC jointly recommend Option 1, and will implement whichever option COMDT ACS selects.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3. What already exists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full joint map is the first task of the programme of work. In outline, the known holdings are: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NZALC — the Performance Under Pressure package (Performance = Potential – Interference, Red Head–Blue Head, Prepare–Perform–Recover, the mental-skills toolkit), embedded across Lead Self, Lead Teams, Lead Leaders and Lead Systems, with experiential delivery, psychometrics, feedback and Leadership Development Plans.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Human Performance Cell — the Performance Cognition programme (COGCON), including arousal regulation, attention control, cognitive flexibility, decision-making under cognitive load and dual-task performance development, with an associated evidence and measurement base.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NZDF Psychology and ILD — supporting content, professional expertise and delivery capacity to be confirmed during mapping.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Initial review indicates the NZALC mental-skills toolkit and the COGCON constructs map closely — for example arousal regulation to tactical breathing and grounding, attention control to noticing and chunking, cognitive flexibility to reframing, and decision-making under load to game planning. The framework will integrate these into a single evidence-based strand rather than two parallel vocabularies. This mapping will be validated jointly during Phase 1.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4. Proposed programme of work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1.</w:t>
        <w:tab/>
      </w:r>
      <w:r>
        <w:rPr>
          <w:rFonts w:cs="Book Antiqua"/>
          <w:b/>
          <w:i w:val="false"/>
        </w:rPr>
        <w:t>Phase 0 — Governance and definition (by end July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Confirm sponsorship and sub-sponsorship arrangements, endorse the problem statement, and select the terminology option at paragraph 2. Draft the Army-endorsed definition of Combat Mindset for staffing.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2.</w:t>
        <w:tab/>
      </w:r>
      <w:r>
        <w:rPr>
          <w:rFonts w:cs="Book Antiqua"/>
          <w:b/>
          <w:i w:val="false"/>
        </w:rPr>
        <w:t>Phase 1 — Joint mapping and gap analysis (August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Map existing content, courses, instructor capability, delivery activity and assurance mechanisms across ACS, NZALC, HPC, NZDF Psychology and ILD. Scope is Army, with NZDF-level interfaces identified rather than absorbed. Identify gaps, duplication and integration opportunities.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3.</w:t>
        <w:tab/>
      </w:r>
      <w:r>
        <w:rPr>
          <w:rFonts w:cs="Book Antiqua"/>
          <w:b/>
          <w:i w:val="false"/>
        </w:rPr>
        <w:t>Phase 2 — Framework development (September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Draft the Army Combat Mindset Framework: definition, desired operational effect, integrated strands (leadership, mental skills, performance cognition, resilience and recovery, values and professional identity, physical performance), and the developmental pathway aligned Lead Self through Lead Systems.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4.</w:t>
        <w:tab/>
      </w:r>
      <w:r>
        <w:rPr>
          <w:rFonts w:cs="Book Antiqua"/>
          <w:b/>
          <w:i w:val="false"/>
        </w:rPr>
        <w:t>Phase 3 — Stakeholder forum (September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Convene ACS, HPC, NZDF Psychology, ILD and selected force employers to refine the framework and implementation approach.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5.</w:t>
        <w:tab/>
      </w:r>
      <w:r>
        <w:rPr>
          <w:rFonts w:cs="Book Antiqua"/>
          <w:b/>
          <w:i w:val="false"/>
        </w:rPr>
        <w:t>Phase 4 — Pilot (October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Apply the framework to selected existing NZALC or ACS activity before any new content is designed, to prove the framework in delivery and generate evidence for refinement.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6.</w:t>
        <w:tab/>
      </w:r>
      <w:r>
        <w:rPr>
          <w:rFonts w:cs="Book Antiqua"/>
          <w:b/>
          <w:i w:val="false"/>
        </w:rPr>
        <w:t>Phase 5 — Report back (November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Present Framework v1.0, the validated capability map, and an implementation and assurance plan for endorsement.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This sequence creates coherence across existing initiatives while avoiding duplication of effort and investment, consistent with Reference B.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5. Governance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following arrangements are proposed for confirmation at Phase 0: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Army Sponsor — strategic owner of the Combat Mindset capability at Army level (to be confirmed through COMDT ACS).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Sub-sponsor — COMDT ACS, driving and championing the capability on the sponsor's behalf.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Capability development and delivery agency — ACS, leveraging NZALC leadership-development expertise, intellectual property and programmes.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Technical authority — Human Performance Cell, ensuring the framework remains evidence-based and measurable, drawing on COGCON.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Supporting stakeholders — NZDF Psychology, ILD, training establishments and force employers.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Assurance — designed into the framework from the outset, with a degree of independence from the principal delivery organisation.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6. Recommendations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It is recommended that COMDT ACS: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1.</w:t>
        <w:tab/>
      </w:r>
      <w:r>
        <w:rPr>
          <w:rFonts w:cs="Book Antiqua"/>
          <w:b/>
          <w:i w:val="false"/>
        </w:rPr>
        <w:t>Endorse the agreed problem statement</w:t>
      </w:r>
      <w:r>
        <w:rPr>
          <w:rFonts w:cs="Book Antiqua"/>
          <w:b w:val="false"/>
          <w:i w:val="false"/>
        </w:rPr>
        <w:t xml:space="preserve"> at paragraph 1.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2.</w:t>
        <w:tab/>
      </w:r>
      <w:r>
        <w:rPr>
          <w:rFonts w:cs="Book Antiqua"/>
          <w:b/>
          <w:i w:val="false"/>
        </w:rPr>
        <w:t>Select the terminology construct</w:t>
      </w:r>
      <w:r>
        <w:rPr>
          <w:rFonts w:cs="Book Antiqua"/>
          <w:b w:val="false"/>
          <w:i w:val="false"/>
        </w:rPr>
        <w:t xml:space="preserve"> at paragraph 2 (Option 1 recommended).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3.</w:t>
        <w:tab/>
      </w:r>
      <w:r>
        <w:rPr>
          <w:rFonts w:cs="Book Antiqua"/>
          <w:b/>
          <w:i w:val="false"/>
        </w:rPr>
        <w:t>Confirm governance arrangements</w:t>
      </w:r>
      <w:r>
        <w:rPr>
          <w:rFonts w:cs="Book Antiqua"/>
          <w:b w:val="false"/>
          <w:i w:val="false"/>
        </w:rPr>
        <w:t xml:space="preserve"> at paragraph 5, including confirmation of the Army Sponsor.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4.</w:t>
        <w:tab/>
      </w:r>
      <w:r>
        <w:rPr>
          <w:rFonts w:cs="Book Antiqua"/>
          <w:b/>
          <w:i w:val="false"/>
        </w:rPr>
        <w:t>Approve the programme of work</w:t>
      </w:r>
      <w:r>
        <w:rPr>
          <w:rFonts w:cs="Book Antiqua"/>
          <w:b w:val="false"/>
          <w:i w:val="false"/>
        </w:rPr>
        <w:t xml:space="preserve"> at paragraph 4, including the joint mapping, stakeholder forum and pilot.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5.</w:t>
        <w:tab/>
      </w:r>
      <w:r>
        <w:rPr>
          <w:rFonts w:cs="Book Antiqua"/>
          <w:b/>
          <w:i w:val="false"/>
        </w:rPr>
        <w:t>Note</w:t>
      </w:r>
      <w:r>
        <w:rPr>
          <w:rFonts w:cs="Book Antiqua"/>
          <w:b w:val="false"/>
          <w:i w:val="false"/>
        </w:rPr>
        <w:t xml:space="preserve"> that NZALC and HPC will deliver this programme jointly, with the capability note at Reference C and the COGCON evidence base as its foundation inputs.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left w:val="single" w:sz="24" w:space="8" w:color="C62026"/>
        </w:pBdr>
        <w:spacing w:before="0" w:after="160"/>
        <w:rPr/>
      </w:pPr>
      <w:r>
        <w:rPr>
          <w:rFonts w:cs="Arial" w:ascii="Arial" w:hAnsi="Arial"/>
          <w:b/>
          <w:i w:val="false"/>
          <w:color w:val="002516"/>
          <w:sz w:val="28"/>
        </w:rPr>
        <w:t>Annex A — Common lexicon and division of functions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These tables give effect to the integration described at paragraphs 2 and 3. They are the joint NZALC–HPC working baseline and will be validated during Phase 1 mapping.</w:t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A1. Common lexicon — one construct, two layers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framework adopts the cognitive-fitness dimensions as the science layer (HPC) and the NZALC mental-skills toolkit as the soldier-facing technique layer. One name per technique is used in delivery; programme-specific protocol names sit beneath it — for example, rhythm breathing is the COGCON conditioning protocol for tactical breathing.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fill="002516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cs="Arial" w:ascii="Arial" w:hAnsi="Arial"/>
                <w:b/>
                <w:color w:val="FFFFFF"/>
                <w:sz w:val="19"/>
              </w:rPr>
              <w:t>Cognitive dimension (science layer)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fill="002516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cs="Arial" w:ascii="Arial" w:hAnsi="Arial"/>
                <w:b/>
                <w:color w:val="FFFFFF"/>
                <w:sz w:val="19"/>
              </w:rPr>
              <w:t>Soldier-facing techniques (NZALC toolkit)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fill="002516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cs="Arial" w:ascii="Arial" w:hAnsi="Arial"/>
                <w:b/>
                <w:color w:val="FFFFFF"/>
                <w:sz w:val="19"/>
              </w:rPr>
              <w:t>COGCON conditioning methods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Arousal regulation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Tactical breathing; grounding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Rhythm-breathing injects during high-intensity physical training; within-session heart-rate down-regulation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Attention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Noticing; chunking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Go/no-go attention drills; threat-identification dual-tasks; agility cones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Cognitive control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Motivational and instructional self-talk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Inhibition performance under load; adaptive difficulty progression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Working memory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Chunking; individual and team game planning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Audio-brief retention and recall during concurrent tasks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Self-knowledge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Structured reflection; psychometrics; Red Head–Blue Head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Performance monitoring; coach scoring and feedback; Team Awareness drills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A2. Division of functions — by function, not organisation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fill="002516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cs="Arial" w:ascii="Arial" w:hAnsi="Arial"/>
                <w:b/>
                <w:color w:val="FFFFFF"/>
                <w:sz w:val="19"/>
              </w:rPr>
              <w:t>Function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fill="002516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cs="Arial" w:ascii="Arial" w:hAnsi="Arial"/>
                <w:b/>
                <w:color w:val="FFFFFF"/>
                <w:sz w:val="19"/>
              </w:rPr>
              <w:t>Lead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fill="002516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cs="Arial" w:ascii="Arial" w:hAnsi="Arial"/>
                <w:b/>
                <w:color w:val="FFFFFF"/>
                <w:sz w:val="19"/>
              </w:rPr>
              <w:t>What it looks like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Educate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NZALC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Concepts and toolkit taught and applied through leadership development, Lead Self to Lead Systems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Condition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HPC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COGCON dual-task repetitions embedded in physical training, with adaptive difficulty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Expose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Joint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Scenario and experiential pressure training, co-designed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Measure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HPC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Heart-rate regulation, attention and inhibition thresholds, progression level reached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Review and recover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NZALC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Structured reflection, self and peer feedback, Leadership Development Plans</w:t>
            </w:r>
          </w:p>
        </w:tc>
      </w:tr>
      <w:tr>
        <w:trPr>
          <w:cantSplit w:val="true"/>
        </w:trPr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Assure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Joint</w:t>
            </w:r>
          </w:p>
        </w:tc>
        <w:tc>
          <w:tcPr>
            <w:tcW w:w="3024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cs="Book Antiqua"/>
                <w:color w:val="000000"/>
                <w:sz w:val="19"/>
              </w:rPr>
              <w:t>Cognitive-readiness metrics (HPC) alongside observed leadership behaviour (NZALC)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A3. Shared frames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Prepare–Perform–Recover is the common delivery rhythm: COGCON operates principally in Prepare and Perform; NZALC closes the loop in Recover.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Lead Self to Lead Systems is the common progression: conditioning is densest in initial and individual training; leadership application deepens up the continuum.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Phase 4 pilot embeds the COGCON adaptive dual-task protocol within an existing NZALC serial — NZALC teaching and reviewing, HPC conditioning and measuring — to prove the integration in delivery.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7" w:right="1417" w:gutter="0" w:header="624" w:top="1361" w:footer="624" w:bottom="136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535" w:leader="none"/>
        <w:tab w:val="right" w:pos="9071" w:leader="none"/>
      </w:tabs>
      <w:spacing w:before="40" w:after="0"/>
      <w:rPr/>
    </w:pPr>
    <w:r>
      <w:rPr>
        <w:rFonts w:cs="Arial" w:ascii="Arial" w:hAnsi="Arial"/>
        <w:b w:val="false"/>
        <w:color w:val="000000"/>
        <w:sz w:val="17"/>
      </w:rPr>
      <w:t>Combat Mindset — Proposed Way Forward</w:t>
      <w:tab/>
      <w:t>NZALC/HPC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7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b w:val="false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7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left"/>
    </w:pPr>
    <w:rPr>
      <w:rFonts w:ascii="Book Antiqua" w:hAnsi="Book Antiqua" w:cs="Book Antiqua" w:eastAsia="WenQuanYi Zen Hei"/>
      <w:color w:val="00000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Book Antiqua" w:hAnsi="Book Antiqua" w:cs="Book Antiqua"/>
      <w:b/>
      <w:color w:val="002516"/>
      <w:sz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240" w:after="80"/>
      <w:outlineLvl w:val="1"/>
    </w:pPr>
    <w:rPr>
      <w:rFonts w:ascii="Book Antiqua" w:hAnsi="Book Antiqua" w:cs="Book Antiqua"/>
      <w:b/>
      <w:color w:val="000000"/>
      <w:sz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7</Pages>
  <Words>1495</Words>
  <Characters>9143</Characters>
  <CharactersWithSpaces>10542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Major M Coom, CI NZALC · Jacques Rousseau, Human Performance Cell</dc:creator>
  <dc:description>generated by python-docx</dc:description>
  <dc:language>en-US</dc:language>
  <cp:lastModifiedBy/>
  <dcterms:modified xsi:type="dcterms:W3CDTF">2026-07-22T04:04:00Z</dcterms:modified>
  <cp:revision>2</cp:revision>
  <dc:subject>Joint NZALC and Human Performance Cell response to COMDT ACS</dc:subject>
  <dc:title>Combat Mindset — Proposed Way Forward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