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rPr/>
      </w:pPr>
      <w:r>
        <w:rPr/>
        <w:drawing>
          <wp:inline distT="0" distB="0" distL="0" distR="0">
            <wp:extent cx="1511935" cy="3651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18" w:space="8" w:color="C62026"/>
        </w:pBdr>
        <w:spacing w:before="0" w:after="40"/>
        <w:rPr/>
      </w:pPr>
      <w:r>
        <w:rPr>
          <w:rFonts w:cs="Arial" w:ascii="Arial" w:hAnsi="Arial"/>
          <w:b/>
          <w:color w:val="000000"/>
          <w:sz w:val="38"/>
        </w:rPr>
        <w:t>Warrant Officer Adventure Race — Participant Withdrawal SOP</w:t>
      </w:r>
    </w:p>
    <w:p>
      <w:pPr>
        <w:pStyle w:val="Normal"/>
        <w:spacing w:before="120" w:after="120"/>
        <w:rPr/>
      </w:pPr>
      <w:r>
        <w:rPr>
          <w:rFonts w:cs="Arial" w:ascii="Arial" w:hAnsi="Arial"/>
          <w:color w:val="002516"/>
          <w:sz w:val="21"/>
        </w:rPr>
        <w:t>NZ Army Leadership Centre | Army Command School</w:t>
      </w:r>
    </w:p>
    <w:p>
      <w:pPr>
        <w:pStyle w:val="Normal"/>
        <w:pBdr>
          <w:bottom w:val="single" w:sz="6" w:space="6" w:color="A89662"/>
        </w:pBdr>
        <w:spacing w:before="0" w:after="200"/>
        <w:rPr/>
      </w:pPr>
      <w:r>
        <w:rPr>
          <w:rFonts w:cs="Arial" w:ascii="Arial" w:hAnsi="Arial"/>
          <w:b/>
          <w:color w:val="002516"/>
          <w:sz w:val="18"/>
        </w:rPr>
        <w:t xml:space="preserve">Reference  </w:t>
      </w:r>
      <w:r>
        <w:rPr>
          <w:rFonts w:cs="Arial" w:ascii="Arial" w:hAnsi="Arial"/>
          <w:color w:val="000000"/>
          <w:sz w:val="18"/>
        </w:rPr>
        <w:t>ELDA Lead Systems Course Workbook, pp 60–62 (Learning Objectives)</w:t>
      </w:r>
      <w:r>
        <w:rPr>
          <w:rFonts w:cs="Arial" w:ascii="Arial" w:hAnsi="Arial"/>
        </w:rPr>
        <w:t xml:space="preserve">      </w:t>
      </w:r>
      <w:r>
        <w:rPr>
          <w:rFonts w:cs="Arial" w:ascii="Arial" w:hAnsi="Arial"/>
          <w:b/>
          <w:color w:val="002516"/>
          <w:sz w:val="18"/>
        </w:rPr>
        <w:t xml:space="preserve">Date  </w:t>
      </w:r>
      <w:r>
        <w:rPr>
          <w:rFonts w:cs="Arial" w:ascii="Arial" w:hAnsi="Arial"/>
          <w:color w:val="000000"/>
          <w:sz w:val="18"/>
        </w:rPr>
        <w:t>July 2026</w:t>
      </w:r>
      <w:r>
        <w:rPr>
          <w:rFonts w:cs="Arial" w:ascii="Arial" w:hAnsi="Arial"/>
        </w:rPr>
        <w:t xml:space="preserve">      </w:t>
      </w:r>
      <w:r>
        <w:rPr>
          <w:rFonts w:cs="Arial" w:ascii="Arial" w:hAnsi="Arial"/>
          <w:b/>
          <w:color w:val="002516"/>
          <w:sz w:val="18"/>
        </w:rPr>
        <w:t xml:space="preserve">Version  </w:t>
      </w:r>
      <w:r>
        <w:rPr>
          <w:rFonts w:cs="Arial" w:ascii="Arial" w:hAnsi="Arial"/>
          <w:color w:val="000000"/>
          <w:sz w:val="18"/>
        </w:rPr>
        <w:t>Draft v0.1</w:t>
      </w:r>
    </w:p>
    <w:p>
      <w:pPr>
        <w:pStyle w:val="Heading1"/>
        <w:pBdr>
          <w:left w:val="single" w:sz="24" w:space="8" w:color="C62026"/>
        </w:pBdr>
        <w:rPr/>
      </w:pPr>
      <w:r>
        <w:rPr>
          <w:rFonts w:cs="Arial" w:ascii="Arial" w:hAnsi="Arial"/>
          <w:b/>
          <w:i w:val="false"/>
          <w:color w:val="002516"/>
          <w:sz w:val="24"/>
        </w:rPr>
        <w:t>1. Purpose</w:t>
      </w:r>
    </w:p>
    <w:p>
      <w:pPr>
        <w:pStyle w:val="Normal"/>
        <w:rPr/>
      </w:pPr>
      <w:r>
        <w:rPr>
          <w:rFonts w:cs="Book Antiqua"/>
          <w:b w:val="false"/>
          <w:i w:val="false"/>
        </w:rPr>
        <w:t>Provide a consistent, fair and defensible process for deciding whether a participant is withdrawn from the Adventure Race for safety, medical, conduct or performance reasons.</w:t>
      </w:r>
    </w:p>
    <w:p>
      <w:pPr>
        <w:pStyle w:val="Heading1"/>
        <w:pBdr>
          <w:left w:val="single" w:sz="24" w:space="8" w:color="C62026"/>
        </w:pBdr>
        <w:rPr/>
      </w:pPr>
      <w:r>
        <w:rPr>
          <w:rFonts w:cs="Arial" w:ascii="Arial" w:hAnsi="Arial"/>
          <w:b/>
          <w:i w:val="false"/>
          <w:color w:val="002516"/>
          <w:sz w:val="24"/>
        </w:rPr>
        <w:t>2. Governing principle</w:t>
      </w:r>
    </w:p>
    <w:p>
      <w:pPr>
        <w:pStyle w:val="Normal"/>
        <w:rPr/>
      </w:pPr>
      <w:r>
        <w:rPr>
          <w:rFonts w:cs="Book Antiqua"/>
          <w:b w:val="false"/>
          <w:i w:val="false"/>
        </w:rPr>
        <w:t>The Adventure Race deliberately exposes participants and teams to pressure, fatigue, adversity, uncertainty and interpersonal friction in support of approved learning objectives. Withdrawal is justified only where a participant's condition, capability or conduct materially prevents: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 w:ascii="Arial" w:hAnsi="Arial"/>
          <w:b/>
          <w:color w:val="C62026"/>
        </w:rPr>
        <w:t>•</w:t>
      </w:r>
      <w:r>
        <w:rPr>
          <w:rFonts w:cs="Arial" w:ascii="Arial" w:hAnsi="Arial"/>
          <w:b/>
          <w:color w:val="C62026"/>
        </w:rPr>
        <w:tab/>
      </w:r>
      <w:r>
        <w:rPr>
          <w:rFonts w:cs="Book Antiqua"/>
          <w:b w:val="false"/>
          <w:i w:val="false"/>
        </w:rPr>
        <w:t>safe participation;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 w:ascii="Arial" w:hAnsi="Arial"/>
          <w:b/>
          <w:color w:val="C62026"/>
        </w:rPr>
        <w:t>•</w:t>
      </w:r>
      <w:r>
        <w:rPr>
          <w:rFonts w:cs="Arial" w:ascii="Arial" w:hAnsi="Arial"/>
          <w:b/>
          <w:color w:val="C62026"/>
        </w:rPr>
        <w:tab/>
      </w:r>
      <w:r>
        <w:rPr>
          <w:rFonts w:cs="Book Antiqua"/>
          <w:b w:val="false"/>
          <w:i w:val="false"/>
        </w:rPr>
        <w:t>meaningful individual participation; or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 w:ascii="Arial" w:hAnsi="Arial"/>
          <w:b/>
          <w:color w:val="C62026"/>
        </w:rPr>
        <w:t>•</w:t>
      </w:r>
      <w:r>
        <w:rPr>
          <w:rFonts w:cs="Arial" w:ascii="Arial" w:hAnsi="Arial"/>
          <w:b/>
          <w:color w:val="C62026"/>
        </w:rPr>
        <w:tab/>
      </w:r>
      <w:r>
        <w:rPr>
          <w:rFonts w:cs="Book Antiqua"/>
          <w:b w:val="false"/>
          <w:i w:val="false"/>
        </w:rPr>
        <w:t>maintenance of learning and assessment conditions.</w:t>
      </w:r>
    </w:p>
    <w:p>
      <w:pPr>
        <w:pStyle w:val="Heading1"/>
        <w:pBdr>
          <w:left w:val="single" w:sz="24" w:space="8" w:color="C62026"/>
        </w:pBdr>
        <w:rPr/>
      </w:pPr>
      <w:r>
        <w:rPr>
          <w:rFonts w:cs="Arial" w:ascii="Arial" w:hAnsi="Arial"/>
          <w:b/>
          <w:i w:val="false"/>
          <w:color w:val="002516"/>
          <w:sz w:val="24"/>
        </w:rPr>
        <w:t>3. Grounds for withdrawal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 w:ascii="Arial" w:hAnsi="Arial"/>
          <w:b w:val="false"/>
        </w:rPr>
        <w:t>1.</w:t>
        <w:tab/>
      </w:r>
      <w:r>
        <w:rPr>
          <w:rFonts w:cs="Book Antiqua"/>
          <w:b/>
          <w:i w:val="false"/>
        </w:rPr>
        <w:t>Safety or medical risk</w:t>
      </w:r>
      <w:r>
        <w:rPr>
          <w:rFonts w:cs="Book Antiqua"/>
          <w:b w:val="false"/>
          <w:i w:val="false"/>
        </w:rPr>
        <w:t xml:space="preserve"> — continued participation is unsafe or breaches an authorised medical restriction.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 w:ascii="Arial" w:hAnsi="Arial"/>
          <w:b w:val="false"/>
        </w:rPr>
        <w:t>2.</w:t>
        <w:tab/>
      </w:r>
      <w:r>
        <w:rPr>
          <w:rFonts w:cs="Book Antiqua"/>
          <w:b/>
          <w:i w:val="false"/>
        </w:rPr>
        <w:t>Physical participation</w:t>
      </w:r>
      <w:r>
        <w:rPr>
          <w:rFonts w:cs="Book Antiqua"/>
          <w:b w:val="false"/>
          <w:i w:val="false"/>
        </w:rPr>
        <w:t xml:space="preserve"> — the participant cannot safely undertake sufficient required activity despite reasonable adaptation.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 w:ascii="Arial" w:hAnsi="Arial"/>
          <w:b w:val="false"/>
        </w:rPr>
        <w:t>3.</w:t>
        <w:tab/>
      </w:r>
      <w:r>
        <w:rPr>
          <w:rFonts w:cs="Book Antiqua"/>
          <w:b/>
          <w:i w:val="false"/>
        </w:rPr>
        <w:t>Learning and assessment validity</w:t>
      </w:r>
      <w:r>
        <w:rPr>
          <w:rFonts w:cs="Book Antiqua"/>
          <w:b w:val="false"/>
          <w:i w:val="false"/>
        </w:rPr>
        <w:t xml:space="preserve"> — the participant can no longer be meaningfully exposed to, develop against, or be assessed against approved objectives.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 w:ascii="Arial" w:hAnsi="Arial"/>
          <w:b w:val="false"/>
        </w:rPr>
        <w:t>4.</w:t>
        <w:tab/>
      </w:r>
      <w:r>
        <w:rPr>
          <w:rFonts w:cs="Book Antiqua"/>
          <w:b/>
          <w:i w:val="false"/>
        </w:rPr>
        <w:t>Conduct</w:t>
      </w:r>
      <w:r>
        <w:rPr>
          <w:rFonts w:cs="Book Antiqua"/>
          <w:b w:val="false"/>
          <w:i w:val="false"/>
        </w:rPr>
        <w:t xml:space="preserve"> — repeated refusal, deliberate non-compliance, or behaviour that creates risk or prevents team functioning after feedback.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 w:ascii="Arial" w:hAnsi="Arial"/>
          <w:b w:val="false"/>
        </w:rPr>
        <w:t>5.</w:t>
        <w:tab/>
      </w:r>
      <w:r>
        <w:rPr>
          <w:rFonts w:cs="Book Antiqua"/>
          <w:b/>
          <w:i w:val="false"/>
        </w:rPr>
        <w:t>Developmental welfare</w:t>
      </w:r>
      <w:r>
        <w:rPr>
          <w:rFonts w:cs="Book Antiqua"/>
          <w:b w:val="false"/>
          <w:i w:val="false"/>
        </w:rPr>
        <w:t xml:space="preserve"> — continued participation is likely to cause harm and no longer provides meaningful developmental benefit.</w:t>
      </w:r>
    </w:p>
    <w:p>
      <w:pPr>
        <w:pStyle w:val="Heading1"/>
        <w:pBdr>
          <w:left w:val="single" w:sz="24" w:space="8" w:color="C62026"/>
        </w:pBdr>
        <w:rPr/>
      </w:pPr>
      <w:r>
        <w:rPr>
          <w:rFonts w:cs="Arial" w:ascii="Arial" w:hAnsi="Arial"/>
          <w:b/>
          <w:i w:val="false"/>
          <w:color w:val="002516"/>
          <w:sz w:val="24"/>
        </w:rPr>
        <w:t>4. Not grounds by themselves</w:t>
      </w:r>
    </w:p>
    <w:p>
      <w:pPr>
        <w:pStyle w:val="Normal"/>
        <w:rPr/>
      </w:pPr>
      <w:r>
        <w:rPr>
          <w:rFonts w:cs="Book Antiqua"/>
          <w:b w:val="false"/>
          <w:i w:val="false"/>
        </w:rPr>
        <w:t>Slower pace than peers; need for reasonable assistance; redistribution of equipment; increased workload on others; frustration or interpersonal friction; a need to adjust pace, roles or plan. These are normal developmental effects of the activity.</w:t>
      </w:r>
    </w:p>
    <w:p>
      <w:pPr>
        <w:pStyle w:val="Heading1"/>
        <w:pBdr>
          <w:left w:val="single" w:sz="24" w:space="8" w:color="C62026"/>
        </w:pBdr>
        <w:rPr/>
      </w:pPr>
      <w:r>
        <w:rPr>
          <w:rFonts w:cs="Arial" w:ascii="Arial" w:hAnsi="Arial"/>
          <w:b/>
          <w:i w:val="false"/>
          <w:color w:val="002516"/>
          <w:sz w:val="24"/>
        </w:rPr>
        <w:t>5. The withdrawal test</w:t>
      </w:r>
    </w:p>
    <w:p>
      <w:pPr>
        <w:pStyle w:val="Normal"/>
        <w:pBdr>
          <w:left w:val="single" w:sz="28" w:space="8" w:color="C62026"/>
        </w:pBdr>
        <w:shd w:val="clear" w:color="auto" w:fill="CDD2B7"/>
        <w:spacing w:before="160" w:after="160"/>
        <w:ind w:left="283" w:right="283"/>
        <w:rPr/>
      </w:pPr>
      <w:r>
        <w:rPr>
          <w:rFonts w:cs="Book Antiqua"/>
          <w:b/>
          <w:i w:val="false"/>
        </w:rPr>
        <w:t>What specific safety requirement, required activity, or approved learning or assessment objective can no longer be safely or meaningfully achieved — and what evidence shows that reasonable coaching, team adaptation or authorised adjustment will not restore the necessary conditions?</w:t>
      </w:r>
    </w:p>
    <w:p>
      <w:pPr>
        <w:pStyle w:val="Normal"/>
        <w:rPr/>
      </w:pPr>
      <w:r>
        <w:rPr>
          <w:rFonts w:cs="Book Antiqua"/>
          <w:b w:val="false"/>
          <w:i w:val="false"/>
        </w:rPr>
        <w:t>A slower team, greater workload or frustration alone will not normally meet this threshold.</w:t>
      </w:r>
    </w:p>
    <w:p>
      <w:pPr>
        <w:pStyle w:val="Heading1"/>
        <w:pBdr>
          <w:left w:val="single" w:sz="24" w:space="8" w:color="C62026"/>
        </w:pBdr>
        <w:rPr/>
      </w:pPr>
      <w:r>
        <w:rPr>
          <w:rFonts w:cs="Arial" w:ascii="Arial" w:hAnsi="Arial"/>
          <w:b/>
          <w:i w:val="false"/>
          <w:color w:val="002516"/>
          <w:sz w:val="24"/>
        </w:rPr>
        <w:t>6. Decision process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 w:ascii="Arial" w:hAnsi="Arial"/>
          <w:b w:val="false"/>
        </w:rPr>
        <w:t>1.</w:t>
        <w:tab/>
      </w:r>
      <w:r>
        <w:rPr>
          <w:rFonts w:cs="Book Antiqua"/>
          <w:b/>
          <w:i w:val="false"/>
        </w:rPr>
        <w:t>Observe and enable</w:t>
      </w:r>
      <w:r>
        <w:rPr>
          <w:rFonts w:cs="Book Antiqua"/>
          <w:b w:val="false"/>
          <w:i w:val="false"/>
        </w:rPr>
        <w:t xml:space="preserve"> — identify the issue; allow the team a reasonable opportunity to recognise, respond and manage it.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 w:ascii="Arial" w:hAnsi="Arial"/>
          <w:b w:val="false"/>
        </w:rPr>
        <w:t>2.</w:t>
        <w:tab/>
      </w:r>
      <w:r>
        <w:rPr>
          <w:rFonts w:cs="Book Antiqua"/>
          <w:b/>
          <w:i w:val="false"/>
        </w:rPr>
        <w:t>Intervene and reassess</w:t>
      </w:r>
      <w:r>
        <w:rPr>
          <w:rFonts w:cs="Book Antiqua"/>
          <w:b w:val="false"/>
          <w:i w:val="false"/>
        </w:rPr>
        <w:t xml:space="preserve"> — provide clear feedback; apply authorised adjustments; reassess whether safe and meaningful participation remains achievable.</w:t>
      </w:r>
    </w:p>
    <w:p>
      <w:pPr>
        <w:pStyle w:val="Normal"/>
        <w:tabs>
          <w:tab w:val="clear" w:pos="720"/>
          <w:tab w:val="left" w:pos="397" w:leader="none"/>
        </w:tabs>
        <w:spacing w:before="60" w:after="40"/>
        <w:ind w:hanging="397" w:left="397"/>
        <w:rPr/>
      </w:pPr>
      <w:r>
        <w:rPr>
          <w:rFonts w:cs="Arial" w:ascii="Arial" w:hAnsi="Arial"/>
          <w:b w:val="false"/>
        </w:rPr>
        <w:t>3.</w:t>
        <w:tab/>
      </w:r>
      <w:r>
        <w:rPr>
          <w:rFonts w:cs="Book Antiqua"/>
          <w:b/>
          <w:i w:val="false"/>
        </w:rPr>
        <w:t>Decide and record</w:t>
      </w:r>
      <w:r>
        <w:rPr>
          <w:rFonts w:cs="Book Antiqua"/>
          <w:b w:val="false"/>
          <w:i w:val="false"/>
        </w:rPr>
        <w:t xml:space="preserve"> — if withdrawal remains necessary, staff provide observations and a recommendation to the designated uniformed authority.</w:t>
      </w:r>
    </w:p>
    <w:p>
      <w:pPr>
        <w:pStyle w:val="Normal"/>
        <w:rPr/>
      </w:pPr>
      <w:r>
        <w:rPr>
          <w:rFonts w:cs="Book Antiqua"/>
          <w:b w:val="false"/>
          <w:i w:val="false"/>
        </w:rPr>
        <w:t>For non-immediate withdrawal, CI or SI NZALC and CI NCO School discuss the case; CI NCO School recommends withdrawal to COMDT ACS for confirmation.</w:t>
      </w:r>
    </w:p>
    <w:p>
      <w:pPr>
        <w:pStyle w:val="Normal"/>
        <w:rPr/>
      </w:pPr>
      <w:r>
        <w:rPr>
          <w:rFonts w:cs="Book Antiqua"/>
          <w:b/>
          <w:i w:val="false"/>
        </w:rPr>
        <w:t>Immediate withdrawal.</w:t>
      </w:r>
      <w:r>
        <w:rPr>
          <w:rFonts w:cs="Book Antiqua"/>
          <w:b w:val="false"/>
          <w:i w:val="false"/>
        </w:rPr>
        <w:t xml:space="preserve"> An instructor, safety staff member or medical practitioner may immediately stop or withdraw a participant to manage an immediate safety or medical risk, informing CI NZALC and CI NCO School as soon as practicable.</w:t>
      </w:r>
    </w:p>
    <w:p>
      <w:pPr>
        <w:pStyle w:val="Heading1"/>
        <w:pBdr>
          <w:left w:val="single" w:sz="24" w:space="8" w:color="C62026"/>
        </w:pBdr>
        <w:rPr/>
      </w:pPr>
      <w:r>
        <w:rPr>
          <w:rFonts w:cs="Arial" w:ascii="Arial" w:hAnsi="Arial"/>
          <w:b/>
          <w:i w:val="false"/>
          <w:color w:val="002516"/>
          <w:sz w:val="24"/>
        </w:rPr>
        <w:t>7. Record of decision</w:t>
      </w:r>
    </w:p>
    <w:p>
      <w:pPr>
        <w:pStyle w:val="Normal"/>
        <w:rPr/>
      </w:pPr>
      <w:r>
        <w:rPr>
          <w:rFonts w:cs="Book Antiqua"/>
          <w:b w:val="false"/>
          <w:i w:val="false"/>
        </w:rPr>
        <w:t>Every withdrawal records: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 w:ascii="Arial" w:hAnsi="Arial"/>
          <w:b/>
          <w:color w:val="C62026"/>
        </w:rPr>
        <w:t>•</w:t>
      </w:r>
      <w:r>
        <w:rPr>
          <w:rFonts w:cs="Arial" w:ascii="Arial" w:hAnsi="Arial"/>
          <w:b/>
          <w:color w:val="C62026"/>
        </w:rPr>
        <w:tab/>
      </w:r>
      <w:r>
        <w:rPr>
          <w:rFonts w:cs="Book Antiqua"/>
          <w:b w:val="false"/>
          <w:i w:val="false"/>
        </w:rPr>
        <w:t>the ground for withdrawal and the relevant requirement or objective;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 w:ascii="Arial" w:hAnsi="Arial"/>
          <w:b/>
          <w:color w:val="C62026"/>
        </w:rPr>
        <w:t>•</w:t>
      </w:r>
      <w:r>
        <w:rPr>
          <w:rFonts w:cs="Arial" w:ascii="Arial" w:hAnsi="Arial"/>
          <w:b/>
          <w:color w:val="C62026"/>
        </w:rPr>
        <w:tab/>
      </w:r>
      <w:r>
        <w:rPr>
          <w:rFonts w:cs="Book Antiqua"/>
          <w:b w:val="false"/>
          <w:i w:val="false"/>
        </w:rPr>
        <w:t>observed evidence and any medical restriction;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 w:ascii="Arial" w:hAnsi="Arial"/>
          <w:b/>
          <w:color w:val="C62026"/>
        </w:rPr>
        <w:t>•</w:t>
      </w:r>
      <w:r>
        <w:rPr>
          <w:rFonts w:cs="Arial" w:ascii="Arial" w:hAnsi="Arial"/>
          <w:b/>
          <w:color w:val="C62026"/>
        </w:rPr>
        <w:tab/>
      </w:r>
      <w:r>
        <w:rPr>
          <w:rFonts w:cs="Book Antiqua"/>
          <w:b w:val="false"/>
          <w:i w:val="false"/>
        </w:rPr>
        <w:t>coaching, adaptations or authorised adjustments attempted;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 w:ascii="Arial" w:hAnsi="Arial"/>
          <w:b/>
          <w:color w:val="C62026"/>
        </w:rPr>
        <w:t>•</w:t>
      </w:r>
      <w:r>
        <w:rPr>
          <w:rFonts w:cs="Arial" w:ascii="Arial" w:hAnsi="Arial"/>
          <w:b/>
          <w:color w:val="C62026"/>
        </w:rPr>
        <w:tab/>
      </w:r>
      <w:r>
        <w:rPr>
          <w:rFonts w:cs="Book Antiqua"/>
          <w:b w:val="false"/>
          <w:i w:val="false"/>
        </w:rPr>
        <w:t>why the issue exceeded normal developmental friction;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 w:ascii="Arial" w:hAnsi="Arial"/>
          <w:b/>
          <w:color w:val="C62026"/>
        </w:rPr>
        <w:t>•</w:t>
      </w:r>
      <w:r>
        <w:rPr>
          <w:rFonts w:cs="Arial" w:ascii="Arial" w:hAnsi="Arial"/>
          <w:b/>
          <w:color w:val="C62026"/>
        </w:rPr>
        <w:tab/>
      </w:r>
      <w:r>
        <w:rPr>
          <w:rFonts w:cs="Book Antiqua"/>
          <w:b w:val="false"/>
          <w:i w:val="false"/>
        </w:rPr>
        <w:t>who recommended and who confirmed the withdrawal; and</w:t>
      </w:r>
    </w:p>
    <w:p>
      <w:pPr>
        <w:pStyle w:val="Normal"/>
        <w:tabs>
          <w:tab w:val="clear" w:pos="720"/>
          <w:tab w:val="left" w:pos="397" w:leader="none"/>
        </w:tabs>
        <w:spacing w:before="0" w:after="40"/>
        <w:ind w:hanging="238" w:left="397"/>
        <w:rPr/>
      </w:pPr>
      <w:r>
        <w:rPr>
          <w:rFonts w:cs="Arial" w:ascii="Arial" w:hAnsi="Arial"/>
          <w:b/>
          <w:color w:val="C62026"/>
        </w:rPr>
        <w:t>•</w:t>
      </w:r>
      <w:r>
        <w:rPr>
          <w:rFonts w:cs="Arial" w:ascii="Arial" w:hAnsi="Arial"/>
          <w:b/>
          <w:color w:val="C62026"/>
        </w:rPr>
        <w:tab/>
      </w:r>
      <w:r>
        <w:rPr>
          <w:rFonts w:cs="Book Antiqua"/>
          <w:b w:val="false"/>
          <w:i w:val="false"/>
        </w:rPr>
        <w:t>the effect on assessment and continued course participation.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04" w:right="1304" w:gutter="0" w:header="567" w:top="1247" w:footer="567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Book Antiqu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rFonts w:cs="Arial" w:ascii="Arial" w:hAnsi="Arial"/>
        <w:b/>
        <w:color w:val="000000"/>
        <w:sz w:val="20"/>
      </w:rPr>
      <w:t>UNCLASSIFIED</w:t>
    </w:r>
  </w:p>
  <w:p>
    <w:pPr>
      <w:pStyle w:val="Normal"/>
      <w:tabs>
        <w:tab w:val="clear" w:pos="720"/>
        <w:tab w:val="center" w:pos="4649" w:leader="none"/>
        <w:tab w:val="right" w:pos="9298" w:leader="none"/>
      </w:tabs>
      <w:spacing w:before="40" w:after="0"/>
      <w:rPr/>
    </w:pPr>
    <w:r>
      <w:rPr>
        <w:rFonts w:cs="Arial" w:ascii="Arial" w:hAnsi="Arial"/>
        <w:color w:val="000000"/>
        <w:sz w:val="17"/>
      </w:rPr>
      <w:t>Participant Withdrawal SOP</w:t>
      <w:tab/>
      <w:t>ACS 2026</w:t>
      <w:tab/>
      <w:t xml:space="preserve">Page </w:t>
    </w:r>
    <w:r>
      <w:rPr>
        <w:rFonts w:cs="Arial" w:ascii="Arial" w:hAnsi="Arial"/>
        <w:sz w:val="17"/>
      </w:rPr>
      <w:fldChar w:fldCharType="begin"/>
    </w:r>
    <w:r>
      <w:rPr>
        <w:sz w:val="17"/>
        <w:rFonts w:cs="Arial" w:ascii="Arial" w:hAnsi="Arial"/>
      </w:rPr>
      <w:instrText xml:space="preserve"> PAGE </w:instrText>
    </w:r>
    <w:r>
      <w:rPr>
        <w:sz w:val="17"/>
        <w:rFonts w:cs="Arial" w:ascii="Arial" w:hAnsi="Arial"/>
      </w:rPr>
      <w:fldChar w:fldCharType="separate"/>
    </w:r>
    <w:r>
      <w:rPr>
        <w:sz w:val="17"/>
        <w:rFonts w:cs="Arial" w:ascii="Arial" w:hAnsi="Arial"/>
      </w:rPr>
      <w:t>2</w:t>
    </w:r>
    <w:r>
      <w:rPr>
        <w:sz w:val="17"/>
        <w:rFonts w:cs="Arial" w:ascii="Arial" w:hAnsi="Arial"/>
      </w:rPr>
      <w:fldChar w:fldCharType="end"/>
    </w:r>
    <w:r>
      <w:rPr>
        <w:rFonts w:cs="Arial" w:ascii="Arial" w:hAnsi="Arial"/>
        <w:color w:val="000000"/>
        <w:sz w:val="17"/>
      </w:rPr>
      <w:t xml:space="preserve"> of </w:t>
    </w:r>
    <w:r>
      <w:rPr>
        <w:rFonts w:cs="Arial" w:ascii="Arial" w:hAnsi="Arial"/>
        <w:sz w:val="17"/>
      </w:rPr>
      <w:fldChar w:fldCharType="begin"/>
    </w:r>
    <w:r>
      <w:rPr>
        <w:sz w:val="17"/>
        <w:rFonts w:cs="Arial" w:ascii="Arial" w:hAnsi="Arial"/>
      </w:rPr>
      <w:instrText xml:space="preserve"> NUMPAGES </w:instrText>
    </w:r>
    <w:r>
      <w:rPr>
        <w:sz w:val="17"/>
        <w:rFonts w:cs="Arial" w:ascii="Arial" w:hAnsi="Arial"/>
      </w:rPr>
      <w:fldChar w:fldCharType="separate"/>
    </w:r>
    <w:r>
      <w:rPr>
        <w:sz w:val="17"/>
        <w:rFonts w:cs="Arial" w:ascii="Arial" w:hAnsi="Arial"/>
      </w:rPr>
      <w:t>2</w:t>
    </w:r>
    <w:r>
      <w:rPr>
        <w:sz w:val="17"/>
        <w:rFonts w:cs="Arial" w:ascii="Arial" w:hAnsi="Arial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/>
    </w:pPr>
    <w:r>
      <w:rPr>
        <w:rFonts w:cs="Arial" w:ascii="Arial" w:hAnsi="Arial"/>
        <w:b/>
        <w:color w:val="000000"/>
        <w:sz w:val="20"/>
      </w:rPr>
      <w:t>UNCLASSIFIED</w:t>
    </w:r>
  </w:p>
  <w:p>
    <w:pPr>
      <w:pStyle w:val="Normal"/>
      <w:tabs>
        <w:tab w:val="clear" w:pos="720"/>
        <w:tab w:val="center" w:pos="4649" w:leader="none"/>
        <w:tab w:val="right" w:pos="9298" w:leader="none"/>
      </w:tabs>
      <w:spacing w:before="40" w:after="0"/>
      <w:rPr/>
    </w:pPr>
    <w:r>
      <w:rPr>
        <w:rFonts w:cs="Arial" w:ascii="Arial" w:hAnsi="Arial"/>
        <w:color w:val="000000"/>
        <w:sz w:val="17"/>
      </w:rPr>
      <w:t>Participant Withdrawal SOP</w:t>
      <w:tab/>
      <w:t>ACS 2026</w:t>
      <w:tab/>
      <w:t xml:space="preserve">Page </w:t>
    </w:r>
    <w:r>
      <w:rPr>
        <w:rFonts w:cs="Arial" w:ascii="Arial" w:hAnsi="Arial"/>
        <w:sz w:val="17"/>
      </w:rPr>
      <w:fldChar w:fldCharType="begin"/>
    </w:r>
    <w:r>
      <w:rPr>
        <w:sz w:val="17"/>
        <w:rFonts w:cs="Arial" w:ascii="Arial" w:hAnsi="Arial"/>
      </w:rPr>
      <w:instrText xml:space="preserve"> PAGE </w:instrText>
    </w:r>
    <w:r>
      <w:rPr>
        <w:sz w:val="17"/>
        <w:rFonts w:cs="Arial" w:ascii="Arial" w:hAnsi="Arial"/>
      </w:rPr>
      <w:fldChar w:fldCharType="separate"/>
    </w:r>
    <w:r>
      <w:rPr>
        <w:sz w:val="17"/>
        <w:rFonts w:cs="Arial" w:ascii="Arial" w:hAnsi="Arial"/>
      </w:rPr>
      <w:t>2</w:t>
    </w:r>
    <w:r>
      <w:rPr>
        <w:sz w:val="17"/>
        <w:rFonts w:cs="Arial" w:ascii="Arial" w:hAnsi="Arial"/>
      </w:rPr>
      <w:fldChar w:fldCharType="end"/>
    </w:r>
    <w:r>
      <w:rPr>
        <w:rFonts w:cs="Arial" w:ascii="Arial" w:hAnsi="Arial"/>
        <w:color w:val="000000"/>
        <w:sz w:val="17"/>
      </w:rPr>
      <w:t xml:space="preserve"> of </w:t>
    </w:r>
    <w:r>
      <w:rPr>
        <w:rFonts w:cs="Arial" w:ascii="Arial" w:hAnsi="Arial"/>
        <w:sz w:val="17"/>
      </w:rPr>
      <w:fldChar w:fldCharType="begin"/>
    </w:r>
    <w:r>
      <w:rPr>
        <w:sz w:val="17"/>
        <w:rFonts w:cs="Arial" w:ascii="Arial" w:hAnsi="Arial"/>
      </w:rPr>
      <w:instrText xml:space="preserve"> NUMPAGES </w:instrText>
    </w:r>
    <w:r>
      <w:rPr>
        <w:sz w:val="17"/>
        <w:rFonts w:cs="Arial" w:ascii="Arial" w:hAnsi="Arial"/>
      </w:rPr>
      <w:fldChar w:fldCharType="separate"/>
    </w:r>
    <w:r>
      <w:rPr>
        <w:sz w:val="17"/>
        <w:rFonts w:cs="Arial" w:ascii="Arial" w:hAnsi="Arial"/>
      </w:rPr>
      <w:t>2</w:t>
    </w:r>
    <w:r>
      <w:rPr>
        <w:sz w:val="17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/>
    </w:pPr>
    <w:r>
      <w:rPr>
        <w:rFonts w:cs="Arial" w:ascii="Arial" w:hAnsi="Arial"/>
        <w:b/>
        <w:color w:val="000000"/>
        <w:sz w:val="20"/>
      </w:rPr>
      <w:t>UNCLASSIFIED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center"/>
      <w:rPr/>
    </w:pPr>
    <w:r>
      <w:rPr>
        <w:rFonts w:cs="Arial" w:ascii="Arial" w:hAnsi="Arial"/>
        <w:b/>
        <w:color w:val="000000"/>
        <w:sz w:val="20"/>
      </w:rPr>
      <w:t>UNCLASSIFIED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Book Antiqua" w:hAnsi="Book Antiqua" w:eastAsia="WenQuanYi Zen Hei" w:cs="Book Antiqu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8" w:before="0" w:after="100"/>
      <w:jc w:val="left"/>
    </w:pPr>
    <w:rPr>
      <w:rFonts w:ascii="Book Antiqua" w:hAnsi="Book Antiqua" w:cs="Book Antiqua" w:eastAsia="WenQuanYi Zen Hei"/>
      <w:color w:val="000000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 w:val="true"/>
      <w:keepLines/>
      <w:spacing w:before="240" w:after="100"/>
      <w:outlineLvl w:val="0"/>
    </w:pPr>
    <w:rPr>
      <w:rFonts w:ascii="Book Antiqua" w:hAnsi="Book Antiqua" w:cs="Book Antiqua"/>
      <w:b/>
      <w:color w:val="002516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485</Words>
  <Characters>2994</Characters>
  <CharactersWithSpaces>3463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NZ Army Leadership Centre | Army Command School</dc:creator>
  <dc:description>generated by python-docx</dc:description>
  <dc:language>en-US</dc:language>
  <cp:lastModifiedBy/>
  <dcterms:modified xsi:type="dcterms:W3CDTF">2026-07-29T23:25:45Z</dcterms:modified>
  <cp:revision>2</cp:revision>
  <dc:subject/>
  <dc:title>Warrant Officer Adventure Race — Participant Withdrawal SOP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