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0"/>
        <w:rPr/>
      </w:pPr>
      <w:r>
        <w:rPr/>
        <w:drawing>
          <wp:inline distT="0" distB="0" distL="0" distR="0">
            <wp:extent cx="1727835" cy="394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727835" cy="394335"/>
                    </a:xfrm>
                    <a:prstGeom prst="rect">
                      <a:avLst/>
                    </a:prstGeom>
                  </pic:spPr>
                </pic:pic>
              </a:graphicData>
            </a:graphic>
          </wp:inline>
        </w:drawing>
      </w:r>
    </w:p>
    <w:p>
      <w:pPr>
        <w:pStyle w:val="Normal"/>
        <w:spacing w:before="0" w:after="80"/>
        <w:rPr/>
      </w:pPr>
      <w:r>
        <w:rPr>
          <w:rFonts w:cs="Arial"/>
          <w:b/>
          <w:i w:val="false"/>
          <w:sz w:val="56"/>
        </w:rPr>
        <w:t>Proposed Revised ELDA Course Portfolio</w:t>
      </w:r>
    </w:p>
    <w:p>
      <w:pPr>
        <w:pStyle w:val="Normal"/>
        <w:pBdr>
          <w:bottom w:val="single" w:sz="24" w:space="10" w:color="C62026"/>
        </w:pBdr>
        <w:spacing w:before="0" w:after="120"/>
        <w:rPr/>
      </w:pPr>
      <w:r>
        <w:rPr>
          <w:rFonts w:cs="Arial"/>
          <w:b/>
          <w:i w:val="false"/>
          <w:color w:val="002516"/>
          <w:sz w:val="26"/>
        </w:rPr>
        <w:t>NZALC Experiential Leadership Development Activities: Pathway Overview and Course Data Sheets</w:t>
      </w:r>
    </w:p>
    <w:p>
      <w:pPr>
        <w:pStyle w:val="Normal"/>
        <w:spacing w:before="200" w:after="100"/>
        <w:rPr/>
      </w:pPr>
      <w:r>
        <w:rPr>
          <w:rFonts w:cs="Arial"/>
          <w:b w:val="false"/>
          <w:i w:val="false"/>
          <w:color w:val="002516"/>
          <w:sz w:val="22"/>
        </w:rPr>
        <w:t>NZ Army Leadership Centre | Army Command School</w:t>
      </w:r>
    </w:p>
    <w:p>
      <w:pPr>
        <w:pStyle w:val="Normal"/>
        <w:spacing w:before="0" w:after="40"/>
        <w:rPr/>
      </w:pPr>
      <w:r>
        <w:rPr>
          <w:rFonts w:cs="Arial"/>
          <w:b/>
          <w:i w:val="false"/>
          <w:color w:val="002516"/>
          <w:sz w:val="19"/>
        </w:rPr>
        <w:t xml:space="preserve">Reference  </w:t>
      </w:r>
      <w:r>
        <w:rPr>
          <w:rFonts w:cs="Arial"/>
          <w:b w:val="false"/>
          <w:i w:val="false"/>
          <w:sz w:val="19"/>
        </w:rPr>
        <w:t>Course Data Sheets A18011, A18008, A18010, A18009</w:t>
      </w:r>
      <w:r>
        <w:rPr>
          <w:rFonts w:cs="Arial"/>
          <w:b w:val="false"/>
          <w:i w:val="false"/>
        </w:rPr>
        <w:t xml:space="preserve">      </w:t>
      </w:r>
      <w:r>
        <w:rPr>
          <w:rFonts w:cs="Arial"/>
          <w:b/>
          <w:i w:val="false"/>
          <w:color w:val="002516"/>
          <w:sz w:val="19"/>
        </w:rPr>
        <w:t xml:space="preserve">Date  </w:t>
      </w:r>
      <w:r>
        <w:rPr>
          <w:rFonts w:cs="Arial"/>
          <w:b w:val="false"/>
          <w:i w:val="false"/>
          <w:sz w:val="19"/>
        </w:rPr>
        <w:t>September 2026</w:t>
      </w:r>
    </w:p>
    <w:p>
      <w:pPr>
        <w:pStyle w:val="Normal"/>
        <w:spacing w:before="0" w:after="40"/>
        <w:rPr/>
      </w:pPr>
      <w:r>
        <w:rPr>
          <w:rFonts w:cs="Arial"/>
          <w:b/>
          <w:i w:val="false"/>
          <w:color w:val="002516"/>
          <w:sz w:val="19"/>
        </w:rPr>
        <w:t xml:space="preserve">Status  </w:t>
      </w:r>
      <w:r>
        <w:rPr>
          <w:rFonts w:cs="Arial"/>
          <w:b/>
          <w:i w:val="false"/>
          <w:sz w:val="19"/>
        </w:rPr>
        <w:t>Draft for Validation</w:t>
      </w:r>
    </w:p>
    <w:p>
      <w:pPr>
        <w:pStyle w:val="Normal"/>
        <w:spacing w:before="720" w:after="100"/>
        <w:rPr/>
      </w:pPr>
      <w:r>
        <w:rPr>
          <w:rFonts w:cs="Arial"/>
          <w:b w:val="false"/>
          <w:i w:val="false"/>
        </w:rPr>
        <w:t>This portfolio brings together the proposed revised course data sheets for the four Experiential Leadership Development Activity (ELDA) courses delivered by the New Zealand Army Leadership Centre, together with a one-page overview of the pathway they form. The learning architecture is settled; a number of administrative entries carried over from the current data sheets remain to be validated against SOLO, DLMS and current NZDF policy before the package is published. Those entries are listed under Points for Validation.</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ELDA Pathway Overview</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Points for Validation</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A18011 ELDA Lead Teams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A18008 ELDA Lead Leaders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A18010 ELDA Lead Systems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A18009 ELDA Command</w:t>
      </w:r>
      <w:r>
        <w:br w:type="page"/>
      </w:r>
    </w:p>
    <w:p>
      <w:pPr>
        <w:pStyle w:val="Normal"/>
        <w:spacing w:before="0" w:after="240"/>
        <w:rPr/>
      </w:pPr>
      <w:r>
        <w:rPr>
          <w:rFonts w:cs="Arial"/>
          <w:b/>
          <w:i w:val="false"/>
          <w:sz w:val="32"/>
        </w:rPr>
        <w:t>Contents</w:t>
      </w:r>
    </w:p>
    <w:sdt>
      <w:sdtPr>
        <w:docPartObj>
          <w:docPartGallery w:val="Table of Contents"/>
          <w:docPartUnique w:val="true"/>
        </w:docPartObj>
      </w:sdtPr>
      <w:sdtContent>
        <w:p>
          <w:pPr>
            <w:pStyle w:val="TOC1"/>
            <w:tabs>
              <w:tab w:val="clear" w:pos="9298"/>
              <w:tab w:val="right" w:pos="9297" w:leader="dot"/>
            </w:tabs>
            <w:rPr/>
          </w:pPr>
          <w:r>
            <w:fldChar w:fldCharType="begin"/>
          </w:r>
          <w:r>
            <w:rPr>
              <w:webHidden/>
              <w:rStyle w:val="IndexLink"/>
              <w:i w:val="false"/>
            </w:rPr>
            <w:instrText xml:space="preserve"> TOC \z \o "1-2" \u \h</w:instrText>
          </w:r>
          <w:r>
            <w:rPr>
              <w:webHidden/>
              <w:rStyle w:val="IndexLink"/>
              <w:i w:val="false"/>
            </w:rPr>
            <w:fldChar w:fldCharType="separate"/>
          </w:r>
          <w:hyperlink w:anchor="__RefHeading___Toc1470_2181157710">
            <w:r>
              <w:rPr>
                <w:webHidden/>
                <w:rStyle w:val="IndexLink"/>
                <w:i w:val="false"/>
              </w:rPr>
              <w:t>ELDA Pathway</w:t>
            </w:r>
            <w:r>
              <w:rPr>
                <w:rStyle w:val="IndexLink"/>
              </w:rPr>
              <w:tab/>
              <w:t>3</w:t>
            </w:r>
          </w:hyperlink>
        </w:p>
        <w:p>
          <w:pPr>
            <w:pStyle w:val="TOC1"/>
            <w:tabs>
              <w:tab w:val="clear" w:pos="9298"/>
              <w:tab w:val="right" w:pos="9297" w:leader="dot"/>
            </w:tabs>
            <w:rPr/>
          </w:pPr>
          <w:hyperlink w:anchor="__RefHeading___Toc1472_2181157710">
            <w:r>
              <w:rPr>
                <w:webHidden/>
                <w:rStyle w:val="IndexLink"/>
                <w:i w:val="false"/>
              </w:rPr>
              <w:t>Points for Validation</w:t>
            </w:r>
            <w:r>
              <w:rPr>
                <w:rStyle w:val="IndexLink"/>
              </w:rPr>
              <w:tab/>
              <w:t>4</w:t>
            </w:r>
          </w:hyperlink>
        </w:p>
        <w:p>
          <w:pPr>
            <w:pStyle w:val="TOC1"/>
            <w:tabs>
              <w:tab w:val="clear" w:pos="9298"/>
              <w:tab w:val="right" w:pos="9297" w:leader="dot"/>
            </w:tabs>
            <w:rPr/>
          </w:pPr>
          <w:hyperlink w:anchor="__RefHeading___Toc1474_2181157710">
            <w:r>
              <w:rPr>
                <w:webHidden/>
                <w:rStyle w:val="IndexLink"/>
              </w:rPr>
              <w:t>A18011 ELDA Lead Teams</w:t>
              <w:tab/>
              <w:t>5</w:t>
            </w:r>
          </w:hyperlink>
        </w:p>
        <w:p>
          <w:pPr>
            <w:pStyle w:val="TOC2"/>
            <w:tabs>
              <w:tab w:val="clear" w:pos="9015"/>
              <w:tab w:val="right" w:pos="9297" w:leader="dot"/>
            </w:tabs>
            <w:rPr/>
          </w:pPr>
          <w:hyperlink w:anchor="__RefHeading___Toc1476_2181157710">
            <w:r>
              <w:rPr>
                <w:webHidden/>
                <w:rStyle w:val="IndexLink"/>
                <w:i w:val="false"/>
              </w:rPr>
              <w:t>Course Information</w:t>
            </w:r>
            <w:r>
              <w:rPr>
                <w:rStyle w:val="IndexLink"/>
              </w:rPr>
              <w:tab/>
              <w:t>5</w:t>
            </w:r>
          </w:hyperlink>
        </w:p>
        <w:p>
          <w:pPr>
            <w:pStyle w:val="TOC2"/>
            <w:tabs>
              <w:tab w:val="clear" w:pos="9015"/>
              <w:tab w:val="right" w:pos="9297" w:leader="dot"/>
            </w:tabs>
            <w:rPr/>
          </w:pPr>
          <w:hyperlink w:anchor="__RefHeading___Toc1478_2181157710">
            <w:r>
              <w:rPr>
                <w:webHidden/>
                <w:rStyle w:val="IndexLink"/>
                <w:i w:val="false"/>
              </w:rPr>
              <w:t>Course Entry Requirements</w:t>
            </w:r>
            <w:r>
              <w:rPr>
                <w:rStyle w:val="IndexLink"/>
              </w:rPr>
              <w:tab/>
              <w:t>5</w:t>
            </w:r>
          </w:hyperlink>
        </w:p>
        <w:p>
          <w:pPr>
            <w:pStyle w:val="TOC2"/>
            <w:tabs>
              <w:tab w:val="clear" w:pos="9015"/>
              <w:tab w:val="right" w:pos="9297" w:leader="dot"/>
            </w:tabs>
            <w:rPr/>
          </w:pPr>
          <w:hyperlink w:anchor="__RefHeading___Toc1480_2181157710">
            <w:r>
              <w:rPr>
                <w:webHidden/>
                <w:rStyle w:val="IndexLink"/>
                <w:i w:val="false"/>
              </w:rPr>
              <w:t>Governance and Delivery</w:t>
            </w:r>
            <w:r>
              <w:rPr>
                <w:rStyle w:val="IndexLink"/>
              </w:rPr>
              <w:tab/>
              <w:t>6</w:t>
            </w:r>
          </w:hyperlink>
        </w:p>
        <w:p>
          <w:pPr>
            <w:pStyle w:val="TOC2"/>
            <w:tabs>
              <w:tab w:val="clear" w:pos="9015"/>
              <w:tab w:val="right" w:pos="9297" w:leader="dot"/>
            </w:tabs>
            <w:rPr/>
          </w:pPr>
          <w:hyperlink w:anchor="__RefHeading___Toc1482_2181157710">
            <w:r>
              <w:rPr>
                <w:webHidden/>
                <w:rStyle w:val="IndexLink"/>
                <w:i w:val="false"/>
              </w:rPr>
              <w:t>Nominations and Enrolments</w:t>
            </w:r>
            <w:r>
              <w:rPr>
                <w:rStyle w:val="IndexLink"/>
              </w:rPr>
              <w:tab/>
              <w:t>6</w:t>
            </w:r>
          </w:hyperlink>
        </w:p>
        <w:p>
          <w:pPr>
            <w:pStyle w:val="TOC2"/>
            <w:tabs>
              <w:tab w:val="clear" w:pos="9015"/>
              <w:tab w:val="right" w:pos="9297" w:leader="dot"/>
            </w:tabs>
            <w:rPr/>
          </w:pPr>
          <w:hyperlink w:anchor="__RefHeading___Toc1484_2181157710">
            <w:r>
              <w:rPr>
                <w:webHidden/>
                <w:rStyle w:val="IndexLink"/>
                <w:i w:val="false"/>
              </w:rPr>
              <w:t>Course Structure</w:t>
            </w:r>
            <w:r>
              <w:rPr>
                <w:rStyle w:val="IndexLink"/>
              </w:rPr>
              <w:tab/>
              <w:t>7</w:t>
            </w:r>
          </w:hyperlink>
        </w:p>
        <w:p>
          <w:pPr>
            <w:pStyle w:val="TOC1"/>
            <w:tabs>
              <w:tab w:val="clear" w:pos="9298"/>
              <w:tab w:val="right" w:pos="9297" w:leader="dot"/>
            </w:tabs>
            <w:rPr/>
          </w:pPr>
          <w:hyperlink w:anchor="__RefHeading___Toc1486_2181157710">
            <w:r>
              <w:rPr>
                <w:webHidden/>
                <w:rStyle w:val="IndexLink"/>
              </w:rPr>
              <w:t>A18008 ELDA Lead Leaders</w:t>
              <w:tab/>
              <w:t>8</w:t>
            </w:r>
          </w:hyperlink>
        </w:p>
        <w:p>
          <w:pPr>
            <w:pStyle w:val="TOC2"/>
            <w:tabs>
              <w:tab w:val="clear" w:pos="9015"/>
              <w:tab w:val="right" w:pos="9297" w:leader="dot"/>
            </w:tabs>
            <w:rPr/>
          </w:pPr>
          <w:hyperlink w:anchor="__RefHeading___Toc1488_2181157710">
            <w:r>
              <w:rPr>
                <w:webHidden/>
                <w:rStyle w:val="IndexLink"/>
                <w:i w:val="false"/>
              </w:rPr>
              <w:t>Course Information</w:t>
            </w:r>
            <w:r>
              <w:rPr>
                <w:rStyle w:val="IndexLink"/>
              </w:rPr>
              <w:tab/>
              <w:t>8</w:t>
            </w:r>
          </w:hyperlink>
        </w:p>
        <w:p>
          <w:pPr>
            <w:pStyle w:val="TOC2"/>
            <w:tabs>
              <w:tab w:val="clear" w:pos="9015"/>
              <w:tab w:val="right" w:pos="9297" w:leader="dot"/>
            </w:tabs>
            <w:rPr/>
          </w:pPr>
          <w:hyperlink w:anchor="__RefHeading___Toc1490_2181157710">
            <w:r>
              <w:rPr>
                <w:webHidden/>
                <w:rStyle w:val="IndexLink"/>
                <w:i w:val="false"/>
              </w:rPr>
              <w:t>Course Entry Requirements</w:t>
            </w:r>
            <w:r>
              <w:rPr>
                <w:rStyle w:val="IndexLink"/>
              </w:rPr>
              <w:tab/>
              <w:t>8</w:t>
            </w:r>
          </w:hyperlink>
        </w:p>
        <w:p>
          <w:pPr>
            <w:pStyle w:val="TOC2"/>
            <w:tabs>
              <w:tab w:val="clear" w:pos="9015"/>
              <w:tab w:val="right" w:pos="9297" w:leader="dot"/>
            </w:tabs>
            <w:rPr/>
          </w:pPr>
          <w:hyperlink w:anchor="__RefHeading___Toc1492_2181157710">
            <w:r>
              <w:rPr>
                <w:webHidden/>
                <w:rStyle w:val="IndexLink"/>
                <w:i w:val="false"/>
              </w:rPr>
              <w:t>Governance and Delivery</w:t>
            </w:r>
            <w:r>
              <w:rPr>
                <w:rStyle w:val="IndexLink"/>
              </w:rPr>
              <w:tab/>
              <w:t>9</w:t>
            </w:r>
          </w:hyperlink>
        </w:p>
        <w:p>
          <w:pPr>
            <w:pStyle w:val="TOC2"/>
            <w:tabs>
              <w:tab w:val="clear" w:pos="9015"/>
              <w:tab w:val="right" w:pos="9297" w:leader="dot"/>
            </w:tabs>
            <w:rPr/>
          </w:pPr>
          <w:hyperlink w:anchor="__RefHeading___Toc1494_2181157710">
            <w:r>
              <w:rPr>
                <w:webHidden/>
                <w:rStyle w:val="IndexLink"/>
                <w:i w:val="false"/>
              </w:rPr>
              <w:t>Nominations and Enrolments</w:t>
            </w:r>
            <w:r>
              <w:rPr>
                <w:rStyle w:val="IndexLink"/>
              </w:rPr>
              <w:tab/>
              <w:t>9</w:t>
            </w:r>
          </w:hyperlink>
        </w:p>
        <w:p>
          <w:pPr>
            <w:pStyle w:val="TOC2"/>
            <w:tabs>
              <w:tab w:val="clear" w:pos="9015"/>
              <w:tab w:val="right" w:pos="9297" w:leader="dot"/>
            </w:tabs>
            <w:rPr/>
          </w:pPr>
          <w:hyperlink w:anchor="__RefHeading___Toc1496_2181157710">
            <w:r>
              <w:rPr>
                <w:webHidden/>
                <w:rStyle w:val="IndexLink"/>
                <w:i w:val="false"/>
              </w:rPr>
              <w:t>Course Structure</w:t>
            </w:r>
            <w:r>
              <w:rPr>
                <w:rStyle w:val="IndexLink"/>
              </w:rPr>
              <w:tab/>
              <w:t>10</w:t>
            </w:r>
          </w:hyperlink>
        </w:p>
        <w:p>
          <w:pPr>
            <w:pStyle w:val="TOC1"/>
            <w:tabs>
              <w:tab w:val="clear" w:pos="9298"/>
              <w:tab w:val="right" w:pos="9297" w:leader="dot"/>
            </w:tabs>
            <w:rPr/>
          </w:pPr>
          <w:hyperlink w:anchor="__RefHeading___Toc1498_2181157710">
            <w:r>
              <w:rPr>
                <w:webHidden/>
                <w:rStyle w:val="IndexLink"/>
              </w:rPr>
              <w:t>A18010 ELDA Lead Systems</w:t>
              <w:tab/>
              <w:t>11</w:t>
            </w:r>
          </w:hyperlink>
        </w:p>
        <w:p>
          <w:pPr>
            <w:pStyle w:val="TOC2"/>
            <w:tabs>
              <w:tab w:val="clear" w:pos="9015"/>
              <w:tab w:val="right" w:pos="9297" w:leader="dot"/>
            </w:tabs>
            <w:rPr/>
          </w:pPr>
          <w:hyperlink w:anchor="__RefHeading___Toc1500_2181157710">
            <w:r>
              <w:rPr>
                <w:webHidden/>
                <w:rStyle w:val="IndexLink"/>
                <w:i w:val="false"/>
              </w:rPr>
              <w:t>Course Information</w:t>
            </w:r>
            <w:r>
              <w:rPr>
                <w:rStyle w:val="IndexLink"/>
              </w:rPr>
              <w:tab/>
              <w:t>11</w:t>
            </w:r>
          </w:hyperlink>
        </w:p>
        <w:p>
          <w:pPr>
            <w:pStyle w:val="TOC2"/>
            <w:tabs>
              <w:tab w:val="clear" w:pos="9015"/>
              <w:tab w:val="right" w:pos="9297" w:leader="dot"/>
            </w:tabs>
            <w:rPr/>
          </w:pPr>
          <w:hyperlink w:anchor="__RefHeading___Toc1502_2181157710">
            <w:r>
              <w:rPr>
                <w:webHidden/>
                <w:rStyle w:val="IndexLink"/>
                <w:i w:val="false"/>
              </w:rPr>
              <w:t>Course Entry Requirements</w:t>
            </w:r>
            <w:r>
              <w:rPr>
                <w:rStyle w:val="IndexLink"/>
              </w:rPr>
              <w:tab/>
              <w:t>11</w:t>
            </w:r>
          </w:hyperlink>
        </w:p>
        <w:p>
          <w:pPr>
            <w:pStyle w:val="TOC2"/>
            <w:tabs>
              <w:tab w:val="clear" w:pos="9015"/>
              <w:tab w:val="right" w:pos="9297" w:leader="dot"/>
            </w:tabs>
            <w:rPr/>
          </w:pPr>
          <w:hyperlink w:anchor="__RefHeading___Toc1504_2181157710">
            <w:r>
              <w:rPr>
                <w:webHidden/>
                <w:rStyle w:val="IndexLink"/>
                <w:i w:val="false"/>
              </w:rPr>
              <w:t>Governance and Delivery</w:t>
            </w:r>
            <w:r>
              <w:rPr>
                <w:rStyle w:val="IndexLink"/>
              </w:rPr>
              <w:tab/>
              <w:t>12</w:t>
            </w:r>
          </w:hyperlink>
        </w:p>
        <w:p>
          <w:pPr>
            <w:pStyle w:val="TOC2"/>
            <w:tabs>
              <w:tab w:val="clear" w:pos="9015"/>
              <w:tab w:val="right" w:pos="9297" w:leader="dot"/>
            </w:tabs>
            <w:rPr/>
          </w:pPr>
          <w:hyperlink w:anchor="__RefHeading___Toc1506_2181157710">
            <w:r>
              <w:rPr>
                <w:webHidden/>
                <w:rStyle w:val="IndexLink"/>
                <w:i w:val="false"/>
              </w:rPr>
              <w:t>Nominations and Enrolments</w:t>
            </w:r>
            <w:r>
              <w:rPr>
                <w:rStyle w:val="IndexLink"/>
              </w:rPr>
              <w:tab/>
              <w:t>12</w:t>
            </w:r>
          </w:hyperlink>
        </w:p>
        <w:p>
          <w:pPr>
            <w:pStyle w:val="TOC2"/>
            <w:tabs>
              <w:tab w:val="clear" w:pos="9015"/>
              <w:tab w:val="right" w:pos="9297" w:leader="dot"/>
            </w:tabs>
            <w:rPr/>
          </w:pPr>
          <w:hyperlink w:anchor="__RefHeading___Toc1508_2181157710">
            <w:r>
              <w:rPr>
                <w:webHidden/>
                <w:rStyle w:val="IndexLink"/>
                <w:i w:val="false"/>
              </w:rPr>
              <w:t>Course Structure</w:t>
            </w:r>
            <w:r>
              <w:rPr>
                <w:rStyle w:val="IndexLink"/>
              </w:rPr>
              <w:tab/>
              <w:t>13</w:t>
            </w:r>
          </w:hyperlink>
        </w:p>
        <w:p>
          <w:pPr>
            <w:pStyle w:val="TOC1"/>
            <w:tabs>
              <w:tab w:val="clear" w:pos="9298"/>
              <w:tab w:val="right" w:pos="9297" w:leader="dot"/>
            </w:tabs>
            <w:rPr/>
          </w:pPr>
          <w:hyperlink w:anchor="__RefHeading___Toc1510_2181157710">
            <w:r>
              <w:rPr>
                <w:webHidden/>
                <w:rStyle w:val="IndexLink"/>
              </w:rPr>
              <w:t>A18009 ELDA Command</w:t>
              <w:tab/>
              <w:t>15</w:t>
            </w:r>
          </w:hyperlink>
        </w:p>
        <w:p>
          <w:pPr>
            <w:pStyle w:val="TOC2"/>
            <w:tabs>
              <w:tab w:val="clear" w:pos="9015"/>
              <w:tab w:val="right" w:pos="9297" w:leader="dot"/>
            </w:tabs>
            <w:rPr/>
          </w:pPr>
          <w:hyperlink w:anchor="__RefHeading___Toc1512_2181157710">
            <w:r>
              <w:rPr>
                <w:webHidden/>
                <w:rStyle w:val="IndexLink"/>
                <w:i w:val="false"/>
              </w:rPr>
              <w:t>Course Information</w:t>
            </w:r>
            <w:r>
              <w:rPr>
                <w:rStyle w:val="IndexLink"/>
              </w:rPr>
              <w:tab/>
              <w:t>15</w:t>
            </w:r>
          </w:hyperlink>
        </w:p>
        <w:p>
          <w:pPr>
            <w:pStyle w:val="TOC2"/>
            <w:tabs>
              <w:tab w:val="clear" w:pos="9015"/>
              <w:tab w:val="right" w:pos="9297" w:leader="dot"/>
            </w:tabs>
            <w:rPr/>
          </w:pPr>
          <w:hyperlink w:anchor="__RefHeading___Toc1514_2181157710">
            <w:r>
              <w:rPr>
                <w:webHidden/>
                <w:rStyle w:val="IndexLink"/>
                <w:i w:val="false"/>
              </w:rPr>
              <w:t>Course Entry Requirements</w:t>
            </w:r>
            <w:r>
              <w:rPr>
                <w:rStyle w:val="IndexLink"/>
              </w:rPr>
              <w:tab/>
              <w:t>16</w:t>
            </w:r>
          </w:hyperlink>
        </w:p>
        <w:p>
          <w:pPr>
            <w:pStyle w:val="TOC2"/>
            <w:tabs>
              <w:tab w:val="clear" w:pos="9015"/>
              <w:tab w:val="right" w:pos="9297" w:leader="dot"/>
            </w:tabs>
            <w:rPr/>
          </w:pPr>
          <w:hyperlink w:anchor="__RefHeading___Toc1516_2181157710">
            <w:r>
              <w:rPr>
                <w:webHidden/>
                <w:rStyle w:val="IndexLink"/>
                <w:i w:val="false"/>
              </w:rPr>
              <w:t>Governance and Delivery</w:t>
            </w:r>
            <w:r>
              <w:rPr>
                <w:rStyle w:val="IndexLink"/>
              </w:rPr>
              <w:tab/>
              <w:t>16</w:t>
            </w:r>
          </w:hyperlink>
        </w:p>
        <w:p>
          <w:pPr>
            <w:pStyle w:val="TOC2"/>
            <w:tabs>
              <w:tab w:val="clear" w:pos="9015"/>
              <w:tab w:val="right" w:pos="9297" w:leader="dot"/>
            </w:tabs>
            <w:rPr/>
          </w:pPr>
          <w:hyperlink w:anchor="__RefHeading___Toc1518_2181157710">
            <w:r>
              <w:rPr>
                <w:webHidden/>
                <w:rStyle w:val="IndexLink"/>
                <w:i w:val="false"/>
              </w:rPr>
              <w:t>Nominations and Enrolments</w:t>
            </w:r>
            <w:r>
              <w:rPr>
                <w:rStyle w:val="IndexLink"/>
              </w:rPr>
              <w:tab/>
              <w:t>17</w:t>
            </w:r>
          </w:hyperlink>
        </w:p>
        <w:p>
          <w:pPr>
            <w:pStyle w:val="TOC2"/>
            <w:tabs>
              <w:tab w:val="clear" w:pos="9015"/>
              <w:tab w:val="right" w:pos="9297" w:leader="dot"/>
            </w:tabs>
            <w:rPr/>
          </w:pPr>
          <w:hyperlink w:anchor="__RefHeading___Toc1520_2181157710">
            <w:r>
              <w:rPr>
                <w:webHidden/>
                <w:rStyle w:val="IndexLink"/>
                <w:i w:val="false"/>
              </w:rPr>
              <w:t>Course Structure</w:t>
            </w:r>
            <w:r>
              <w:rPr>
                <w:rStyle w:val="IndexLink"/>
              </w:rPr>
              <w:tab/>
              <w:t>18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pPr>
        </w:p>
      </w:sdtContent>
    </w:sdt>
    <w:p>
      <w:pPr>
        <w:pStyle w:val="Heading1"/>
        <w:spacing w:before="240" w:after="0"/>
        <w:rPr/>
      </w:pPr>
      <w:bookmarkStart w:id="0" w:name="__RefHeading___Toc1470_2181157710"/>
      <w:bookmarkEnd w:id="0"/>
      <w:r>
        <w:rPr>
          <w:rFonts w:cs="Arial"/>
          <w:b/>
          <w:i w:val="false"/>
          <w:color w:val="000000"/>
          <w:sz w:val="36"/>
        </w:rPr>
        <w:t>ELDA Pathway</w:t>
      </w:r>
    </w:p>
    <w:p>
      <w:pPr>
        <w:pStyle w:val="Normal"/>
        <w:pBdr>
          <w:bottom w:val="single" w:sz="18" w:space="6" w:color="C62026"/>
        </w:pBdr>
        <w:spacing w:before="0" w:after="60"/>
        <w:rPr/>
      </w:pPr>
      <w:r>
        <w:rPr>
          <w:rFonts w:cs="Arial"/>
          <w:b/>
          <w:i w:val="false"/>
          <w:color w:val="002516"/>
          <w:sz w:val="22"/>
        </w:rPr>
        <w:t>Experiential Leadership Development Activities: Course Overview</w:t>
      </w:r>
    </w:p>
    <w:p>
      <w:pPr>
        <w:pStyle w:val="Normal"/>
        <w:pBdr>
          <w:bottom w:val="single" w:sz="6" w:space="5" w:color="A89662"/>
        </w:pBdr>
        <w:spacing w:before="80" w:after="120"/>
        <w:rPr/>
      </w:pPr>
      <w:r>
        <w:rPr>
          <w:rFonts w:cs="Arial"/>
          <w:b w:val="false"/>
          <w:i w:val="false"/>
          <w:color w:val="002516"/>
          <w:sz w:val="19"/>
        </w:rPr>
        <w:t>NZ Army Leadership Centre | Army Command School</w:t>
      </w:r>
      <w:r>
        <w:rPr>
          <w:rFonts w:cs="Arial"/>
          <w:b w:val="false"/>
          <w:i w:val="false"/>
          <w:color w:val="000000"/>
          <w:sz w:val="18"/>
        </w:rPr>
        <w:t xml:space="preserve">      </w:t>
      </w:r>
      <w:r>
        <w:rPr>
          <w:rFonts w:cs="Arial"/>
          <w:b/>
          <w:i w:val="false"/>
          <w:color w:val="002516"/>
          <w:sz w:val="17"/>
        </w:rPr>
        <w:t xml:space="preserve">Reference  </w:t>
      </w:r>
      <w:r>
        <w:rPr>
          <w:rFonts w:cs="Arial"/>
          <w:b w:val="false"/>
          <w:i w:val="false"/>
          <w:color w:val="000000"/>
          <w:sz w:val="17"/>
        </w:rPr>
        <w:t>Course Data Sheets A18011, A18008, A18010, A18009</w:t>
      </w:r>
      <w:r>
        <w:rPr>
          <w:rFonts w:cs="Arial"/>
          <w:b w:val="false"/>
          <w:i w:val="false"/>
          <w:color w:val="000000"/>
          <w:sz w:val="18"/>
        </w:rPr>
        <w:t xml:space="preserve">      </w:t>
      </w:r>
      <w:r>
        <w:rPr>
          <w:rFonts w:cs="Arial"/>
          <w:b/>
          <w:i w:val="false"/>
          <w:color w:val="002516"/>
          <w:sz w:val="17"/>
        </w:rPr>
        <w:t xml:space="preserve">Date  </w:t>
      </w:r>
      <w:r>
        <w:rPr>
          <w:rFonts w:cs="Arial"/>
          <w:b w:val="false"/>
          <w:i w:val="false"/>
          <w:color w:val="000000"/>
          <w:sz w:val="17"/>
        </w:rPr>
        <w:t>September 2026</w:t>
      </w:r>
      <w:r>
        <w:rPr>
          <w:rFonts w:cs="Arial"/>
          <w:b w:val="false"/>
          <w:i w:val="false"/>
          <w:color w:val="000000"/>
          <w:sz w:val="18"/>
        </w:rPr>
        <w:t xml:space="preserve">      </w:t>
      </w:r>
      <w:r>
        <w:rPr>
          <w:rFonts w:cs="Arial"/>
          <w:b/>
          <w:i w:val="false"/>
          <w:color w:val="002516"/>
          <w:sz w:val="17"/>
        </w:rPr>
        <w:t xml:space="preserve">Status  </w:t>
      </w:r>
      <w:r>
        <w:rPr>
          <w:rFonts w:cs="Arial"/>
          <w:b w:val="false"/>
          <w:i w:val="false"/>
          <w:color w:val="000000"/>
          <w:sz w:val="17"/>
        </w:rPr>
        <w:t>Draft for Validation</w:t>
      </w:r>
    </w:p>
    <w:tbl>
      <w:tblPr>
        <w:tblW w:w="14796" w:type="dxa"/>
        <w:jc w:val="center"/>
        <w:tblInd w:w="0" w:type="dxa"/>
        <w:tblLayout w:type="fixed"/>
        <w:tblCellMar>
          <w:top w:w="40" w:type="dxa"/>
          <w:left w:w="90" w:type="dxa"/>
          <w:bottom w:w="40" w:type="dxa"/>
          <w:right w:w="90" w:type="dxa"/>
        </w:tblCellMar>
        <w:tblLook w:val="04a0" w:noHBand="0" w:noVBand="1" w:firstColumn="1" w:lastRow="0" w:lastColumn="0" w:firstRow="1"/>
      </w:tblPr>
      <w:tblGrid>
        <w:gridCol w:w="1643"/>
        <w:gridCol w:w="3288"/>
        <w:gridCol w:w="3289"/>
        <w:gridCol w:w="3288"/>
        <w:gridCol w:w="3288"/>
      </w:tblGrid>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
          </w:p>
        </w:tc>
        <w:tc>
          <w:tcPr>
            <w:tcW w:w="328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Fonts w:cs="Arial"/>
                <w:b/>
                <w:i w:val="false"/>
                <w:color w:val="FFFFFF"/>
                <w:sz w:val="20"/>
              </w:rPr>
              <w:t>ELDA Lead Teams</w:t>
            </w:r>
            <w:r>
              <w:rPr/>
              <w:br/>
            </w:r>
            <w:r>
              <w:rPr>
                <w:rFonts w:cs="Arial"/>
                <w:b w:val="false"/>
                <w:i w:val="false"/>
                <w:color w:val="CDD2B7"/>
                <w:sz w:val="17"/>
              </w:rPr>
              <w:t>A18011  |  6 Training Days</w:t>
            </w:r>
          </w:p>
        </w:tc>
        <w:tc>
          <w:tcPr>
            <w:tcW w:w="32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Fonts w:cs="Arial"/>
                <w:b/>
                <w:i w:val="false"/>
                <w:color w:val="FFFFFF"/>
                <w:sz w:val="20"/>
              </w:rPr>
              <w:t>ELDA Lead Leaders</w:t>
            </w:r>
            <w:r>
              <w:rPr/>
              <w:br/>
            </w:r>
            <w:r>
              <w:rPr>
                <w:rFonts w:cs="Arial"/>
                <w:b w:val="false"/>
                <w:i w:val="false"/>
                <w:color w:val="CDD2B7"/>
                <w:sz w:val="17"/>
              </w:rPr>
              <w:t>A18008  |  6 Training Days</w:t>
            </w:r>
          </w:p>
        </w:tc>
        <w:tc>
          <w:tcPr>
            <w:tcW w:w="328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Fonts w:cs="Arial"/>
                <w:b/>
                <w:i w:val="false"/>
                <w:color w:val="FFFFFF"/>
                <w:sz w:val="20"/>
              </w:rPr>
              <w:t>ELDA Lead Systems</w:t>
            </w:r>
            <w:r>
              <w:rPr/>
              <w:br/>
            </w:r>
            <w:r>
              <w:rPr>
                <w:rFonts w:cs="Arial"/>
                <w:b w:val="false"/>
                <w:i w:val="false"/>
                <w:color w:val="CDD2B7"/>
                <w:sz w:val="17"/>
              </w:rPr>
              <w:t>A18010  |  7 Training Days</w:t>
            </w:r>
          </w:p>
        </w:tc>
        <w:tc>
          <w:tcPr>
            <w:tcW w:w="328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Fonts w:cs="Arial"/>
                <w:b/>
                <w:i w:val="false"/>
                <w:color w:val="FFFFFF"/>
                <w:sz w:val="20"/>
              </w:rPr>
              <w:t>ELDA Command</w:t>
            </w:r>
            <w:r>
              <w:rPr/>
              <w:br/>
            </w:r>
            <w:r>
              <w:rPr>
                <w:rFonts w:cs="Arial"/>
                <w:b w:val="false"/>
                <w:i w:val="false"/>
                <w:color w:val="CDD2B7"/>
                <w:sz w:val="17"/>
              </w:rPr>
              <w:t>A18009  |  8–10 Training Days</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Scope</w:t>
            </w:r>
          </w:p>
        </w:tc>
        <w:tc>
          <w:tcPr>
            <w:tcW w:w="3288" w:type="dxa"/>
            <w:tcBorders>
              <w:top w:val="single" w:sz="4" w:space="0" w:color="A89662"/>
              <w:left w:val="single" w:sz="4" w:space="0" w:color="A89662"/>
              <w:bottom w:val="single" w:sz="4" w:space="0" w:color="A89662"/>
              <w:right w:val="single" w:sz="4" w:space="0" w:color="A89662"/>
            </w:tcBorders>
            <w:shd w:color="auto" w:fill="CDD2B7" w:val="clear"/>
          </w:tcPr>
          <w:p>
            <w:pPr>
              <w:pStyle w:val="Normal"/>
              <w:pBdr>
                <w:left w:val="single" w:sz="18" w:space="4" w:color="C62026"/>
              </w:pBdr>
              <w:spacing w:lineRule="auto" w:line="249" w:before="0" w:after="0"/>
              <w:rPr/>
            </w:pPr>
            <w:r>
              <w:rPr>
                <w:rFonts w:cs="Arial"/>
                <w:b/>
                <w:i w:val="false"/>
                <w:color w:val="002516"/>
                <w:sz w:val="19"/>
              </w:rPr>
              <w:t>Leading a team</w:t>
            </w:r>
          </w:p>
        </w:tc>
        <w:tc>
          <w:tcPr>
            <w:tcW w:w="3289" w:type="dxa"/>
            <w:tcBorders>
              <w:top w:val="single" w:sz="4" w:space="0" w:color="A89662"/>
              <w:left w:val="single" w:sz="4" w:space="0" w:color="A89662"/>
              <w:bottom w:val="single" w:sz="4" w:space="0" w:color="A89662"/>
              <w:right w:val="single" w:sz="4" w:space="0" w:color="A89662"/>
            </w:tcBorders>
            <w:shd w:color="auto" w:fill="CDD2B7" w:val="clear"/>
          </w:tcPr>
          <w:p>
            <w:pPr>
              <w:pStyle w:val="Normal"/>
              <w:pBdr>
                <w:left w:val="single" w:sz="18" w:space="4" w:color="C62026"/>
              </w:pBdr>
              <w:spacing w:lineRule="auto" w:line="249" w:before="0" w:after="0"/>
              <w:rPr/>
            </w:pPr>
            <w:r>
              <w:rPr>
                <w:rFonts w:cs="Arial"/>
                <w:b/>
                <w:i w:val="false"/>
                <w:color w:val="002516"/>
                <w:sz w:val="19"/>
              </w:rPr>
              <w:t>Leading among leaders</w:t>
            </w:r>
          </w:p>
        </w:tc>
        <w:tc>
          <w:tcPr>
            <w:tcW w:w="3288" w:type="dxa"/>
            <w:tcBorders>
              <w:top w:val="single" w:sz="4" w:space="0" w:color="A89662"/>
              <w:left w:val="single" w:sz="4" w:space="0" w:color="A89662"/>
              <w:bottom w:val="single" w:sz="4" w:space="0" w:color="A89662"/>
              <w:right w:val="single" w:sz="4" w:space="0" w:color="A89662"/>
            </w:tcBorders>
            <w:shd w:color="auto" w:fill="CDD2B7" w:val="clear"/>
          </w:tcPr>
          <w:p>
            <w:pPr>
              <w:pStyle w:val="Normal"/>
              <w:pBdr>
                <w:left w:val="single" w:sz="18" w:space="4" w:color="C62026"/>
              </w:pBdr>
              <w:spacing w:lineRule="auto" w:line="249" w:before="0" w:after="0"/>
              <w:rPr/>
            </w:pPr>
            <w:r>
              <w:rPr>
                <w:rFonts w:cs="Arial"/>
                <w:b/>
                <w:i w:val="false"/>
                <w:color w:val="002516"/>
                <w:sz w:val="19"/>
              </w:rPr>
              <w:t>Leading across a system</w:t>
            </w:r>
          </w:p>
        </w:tc>
        <w:tc>
          <w:tcPr>
            <w:tcW w:w="3288" w:type="dxa"/>
            <w:tcBorders>
              <w:top w:val="single" w:sz="4" w:space="0" w:color="A89662"/>
              <w:left w:val="single" w:sz="4" w:space="0" w:color="A89662"/>
              <w:bottom w:val="single" w:sz="4" w:space="0" w:color="A89662"/>
              <w:right w:val="single" w:sz="4" w:space="0" w:color="A89662"/>
            </w:tcBorders>
            <w:shd w:color="auto" w:fill="CDD2B7" w:val="clear"/>
          </w:tcPr>
          <w:p>
            <w:pPr>
              <w:pStyle w:val="Normal"/>
              <w:pBdr>
                <w:left w:val="single" w:sz="18" w:space="4" w:color="C62026"/>
              </w:pBdr>
              <w:spacing w:lineRule="auto" w:line="249" w:before="0" w:after="0"/>
              <w:rPr/>
            </w:pPr>
            <w:r>
              <w:rPr>
                <w:rFonts w:cs="Arial"/>
                <w:b/>
                <w:i w:val="false"/>
                <w:color w:val="002516"/>
                <w:sz w:val="19"/>
              </w:rPr>
              <w:t>Leading the organisation</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Learners</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Regular Force personnel selected for the A1530 Promotion All Corps RF JNCO Course.</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Regular Force Officers (2LT and LT); Regular Force NCOs accepted onto the A1531 SNCO Promotion Course.</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SNCOs and WOs accepted onto the A1532 All Corps Warrant Officer Course; Captains preparing for promotion to Major.</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Personnel selected for, preparing for, or undertaking significant command or senior leadership appointments.</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Aim</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Individual leadership effectiveness through small-team leadership under pressure.</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Leadership effectiveness through self-awareness, reflection and deliberate adaptation of leadership behaviour.</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Leadership effectiveness within complex systems: interdependencies and influence beyond direct authority.</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Command effectiveness through self-awareness, judgement and creating the conditions for organisational performance.</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Developmental logic</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jc w:val="center"/>
              <w:rPr/>
            </w:pPr>
            <w:r>
              <w:rPr>
                <w:rFonts w:cs="Arial"/>
                <w:b/>
                <w:i w:val="false"/>
                <w:color w:val="002516"/>
                <w:sz w:val="17"/>
              </w:rPr>
              <w:t>SELF</w:t>
            </w:r>
            <w:r>
              <w:rPr/>
              <w:br/>
            </w:r>
            <w:r>
              <w:rPr>
                <w:rFonts w:cs="Arial"/>
                <w:b w:val="false"/>
                <w:i w:val="false"/>
                <w:color w:val="C62026"/>
                <w:sz w:val="14"/>
              </w:rPr>
              <w:t>▼</w:t>
            </w:r>
            <w:r>
              <w:rPr/>
              <w:br/>
            </w:r>
            <w:r>
              <w:rPr>
                <w:rFonts w:cs="Arial"/>
                <w:b/>
                <w:i w:val="false"/>
                <w:color w:val="002516"/>
                <w:sz w:val="17"/>
              </w:rPr>
              <w:t>TEAM</w:t>
            </w:r>
            <w:r>
              <w:rPr/>
              <w:br/>
            </w:r>
            <w:r>
              <w:rPr>
                <w:rFonts w:cs="Arial"/>
                <w:b w:val="false"/>
                <w:i w:val="false"/>
                <w:color w:val="C62026"/>
                <w:sz w:val="14"/>
              </w:rPr>
              <w:t>▼</w:t>
            </w:r>
            <w:r>
              <w:rPr/>
              <w:br/>
            </w:r>
            <w:r>
              <w:rPr>
                <w:rFonts w:cs="Arial"/>
                <w:b/>
                <w:i w:val="false"/>
                <w:color w:val="002516"/>
                <w:sz w:val="17"/>
              </w:rPr>
              <w:t>REFLECT</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jc w:val="center"/>
              <w:rPr/>
            </w:pPr>
            <w:r>
              <w:rPr>
                <w:rFonts w:cs="Arial"/>
                <w:b/>
                <w:i w:val="false"/>
                <w:color w:val="002516"/>
                <w:sz w:val="17"/>
              </w:rPr>
              <w:t>VALUES</w:t>
            </w:r>
            <w:r>
              <w:rPr/>
              <w:br/>
            </w:r>
            <w:r>
              <w:rPr>
                <w:rFonts w:cs="Arial"/>
                <w:b w:val="false"/>
                <w:i w:val="false"/>
                <w:color w:val="C62026"/>
                <w:sz w:val="14"/>
              </w:rPr>
              <w:t>▼</w:t>
            </w:r>
            <w:r>
              <w:rPr/>
              <w:br/>
            </w:r>
            <w:r>
              <w:rPr>
                <w:rFonts w:cs="Arial"/>
                <w:b/>
                <w:i w:val="false"/>
                <w:color w:val="002516"/>
                <w:sz w:val="17"/>
              </w:rPr>
              <w:t>SELF-AWARENESS</w:t>
            </w:r>
            <w:r>
              <w:rPr/>
              <w:br/>
            </w:r>
            <w:r>
              <w:rPr>
                <w:rFonts w:cs="Arial"/>
                <w:b w:val="false"/>
                <w:i w:val="false"/>
                <w:color w:val="C62026"/>
                <w:sz w:val="14"/>
              </w:rPr>
              <w:t>▼</w:t>
            </w:r>
            <w:r>
              <w:rPr/>
              <w:br/>
            </w:r>
            <w:r>
              <w:rPr>
                <w:rFonts w:cs="Arial"/>
                <w:b/>
                <w:i w:val="false"/>
                <w:color w:val="002516"/>
                <w:sz w:val="17"/>
              </w:rPr>
              <w:t>ADAPT</w:t>
            </w:r>
            <w:r>
              <w:rPr/>
              <w:br/>
            </w:r>
            <w:r>
              <w:rPr>
                <w:rFonts w:cs="Arial"/>
                <w:b w:val="false"/>
                <w:i w:val="false"/>
                <w:color w:val="C62026"/>
                <w:sz w:val="14"/>
              </w:rPr>
              <w:t>▼</w:t>
            </w:r>
            <w:r>
              <w:rPr/>
              <w:br/>
            </w:r>
            <w:r>
              <w:rPr>
                <w:rFonts w:cs="Arial"/>
                <w:b/>
                <w:i w:val="false"/>
                <w:color w:val="002516"/>
                <w:sz w:val="17"/>
              </w:rPr>
              <w:t>DEVELOP</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jc w:val="center"/>
              <w:rPr/>
            </w:pPr>
            <w:r>
              <w:rPr>
                <w:rFonts w:cs="Arial"/>
                <w:b/>
                <w:i w:val="false"/>
                <w:color w:val="002516"/>
                <w:sz w:val="17"/>
              </w:rPr>
              <w:t>VALUES &amp; JUDGEMENT</w:t>
            </w:r>
            <w:r>
              <w:rPr/>
              <w:br/>
            </w:r>
            <w:r>
              <w:rPr>
                <w:rFonts w:cs="Arial"/>
                <w:b w:val="false"/>
                <w:i w:val="false"/>
                <w:color w:val="C62026"/>
                <w:sz w:val="14"/>
              </w:rPr>
              <w:t>▼</w:t>
            </w:r>
            <w:r>
              <w:rPr/>
              <w:br/>
            </w:r>
            <w:r>
              <w:rPr>
                <w:rFonts w:cs="Arial"/>
                <w:b/>
                <w:i w:val="false"/>
                <w:color w:val="002516"/>
                <w:sz w:val="17"/>
              </w:rPr>
              <w:t>SYSTEM</w:t>
            </w:r>
            <w:r>
              <w:rPr/>
              <w:br/>
            </w:r>
            <w:r>
              <w:rPr>
                <w:rFonts w:cs="Arial"/>
                <w:b w:val="false"/>
                <w:i w:val="false"/>
                <w:color w:val="C62026"/>
                <w:sz w:val="14"/>
              </w:rPr>
              <w:t>▼</w:t>
            </w:r>
            <w:r>
              <w:rPr/>
              <w:br/>
            </w:r>
            <w:r>
              <w:rPr>
                <w:rFonts w:cs="Arial"/>
                <w:b/>
                <w:i w:val="false"/>
                <w:color w:val="002516"/>
                <w:sz w:val="17"/>
              </w:rPr>
              <w:t>INFLUENCE</w:t>
            </w:r>
            <w:r>
              <w:rPr/>
              <w:br/>
            </w:r>
            <w:r>
              <w:rPr>
                <w:rFonts w:cs="Arial"/>
                <w:b w:val="false"/>
                <w:i w:val="false"/>
                <w:color w:val="C62026"/>
                <w:sz w:val="14"/>
              </w:rPr>
              <w:t>▼</w:t>
            </w:r>
            <w:r>
              <w:rPr/>
              <w:br/>
            </w:r>
            <w:r>
              <w:rPr>
                <w:rFonts w:cs="Arial"/>
                <w:b/>
                <w:i w:val="false"/>
                <w:color w:val="002516"/>
                <w:sz w:val="17"/>
              </w:rPr>
              <w:t>ADAPT</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jc w:val="center"/>
              <w:rPr/>
            </w:pPr>
            <w:r>
              <w:rPr>
                <w:rFonts w:cs="Arial"/>
                <w:b/>
                <w:i w:val="false"/>
                <w:color w:val="002516"/>
                <w:sz w:val="17"/>
              </w:rPr>
              <w:t>STRATEGIC SELF-AWARENESS</w:t>
            </w:r>
            <w:r>
              <w:rPr/>
              <w:br/>
            </w:r>
            <w:r>
              <w:rPr>
                <w:rFonts w:cs="Arial"/>
                <w:b w:val="false"/>
                <w:i w:val="false"/>
                <w:color w:val="C62026"/>
                <w:sz w:val="14"/>
              </w:rPr>
              <w:t>▼</w:t>
            </w:r>
            <w:r>
              <w:rPr/>
              <w:br/>
            </w:r>
            <w:r>
              <w:rPr>
                <w:rFonts w:cs="Arial"/>
                <w:b/>
                <w:i w:val="false"/>
                <w:color w:val="002516"/>
                <w:sz w:val="17"/>
              </w:rPr>
              <w:t>JUDGEMENT</w:t>
            </w:r>
            <w:r>
              <w:rPr/>
              <w:br/>
            </w:r>
            <w:r>
              <w:rPr>
                <w:rFonts w:cs="Arial"/>
                <w:b w:val="false"/>
                <w:i w:val="false"/>
                <w:color w:val="C62026"/>
                <w:sz w:val="14"/>
              </w:rPr>
              <w:t>▼</w:t>
            </w:r>
            <w:r>
              <w:rPr/>
              <w:br/>
            </w:r>
            <w:r>
              <w:rPr>
                <w:rFonts w:cs="Arial"/>
                <w:b/>
                <w:i w:val="false"/>
                <w:color w:val="002516"/>
                <w:sz w:val="17"/>
              </w:rPr>
              <w:t>CONDITIONS</w:t>
            </w:r>
            <w:r>
              <w:rPr/>
              <w:br/>
            </w:r>
            <w:r>
              <w:rPr>
                <w:rFonts w:cs="Arial"/>
                <w:b w:val="false"/>
                <w:i w:val="false"/>
                <w:color w:val="C62026"/>
                <w:sz w:val="14"/>
              </w:rPr>
              <w:t>▼</w:t>
            </w:r>
            <w:r>
              <w:rPr/>
              <w:br/>
            </w:r>
            <w:r>
              <w:rPr>
                <w:rFonts w:cs="Arial"/>
                <w:b/>
                <w:i w:val="false"/>
                <w:color w:val="002516"/>
                <w:sz w:val="17"/>
              </w:rPr>
              <w:t>DELIBERATE DEVELOPMENT</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Learning outcomes</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i w:val="false"/>
                <w:color w:val="002516"/>
                <w:sz w:val="16"/>
              </w:rPr>
              <w:t xml:space="preserve">LO 1.1  </w:t>
            </w:r>
            <w:r>
              <w:rPr>
                <w:rFonts w:cs="Arial"/>
                <w:b w:val="false"/>
                <w:i w:val="false"/>
                <w:color w:val="000000"/>
                <w:sz w:val="16"/>
              </w:rPr>
              <w:t>Apply strategies to maintain effective performance under pressure</w:t>
            </w:r>
            <w:r>
              <w:rPr/>
              <w:br/>
            </w:r>
            <w:r>
              <w:rPr>
                <w:rFonts w:cs="Arial"/>
                <w:b/>
                <w:i w:val="false"/>
                <w:color w:val="002516"/>
                <w:sz w:val="16"/>
              </w:rPr>
              <w:t xml:space="preserve">LO 1.2  </w:t>
            </w:r>
            <w:r>
              <w:rPr>
                <w:rFonts w:cs="Arial"/>
                <w:b w:val="false"/>
                <w:i w:val="false"/>
                <w:color w:val="000000"/>
                <w:sz w:val="16"/>
              </w:rPr>
              <w:t>Apply effective leadership behaviours within a small team under challenging conditions</w:t>
            </w:r>
            <w:r>
              <w:rPr/>
              <w:br/>
            </w:r>
            <w:r>
              <w:rPr>
                <w:rFonts w:cs="Arial"/>
                <w:b/>
                <w:i w:val="false"/>
                <w:color w:val="002516"/>
                <w:sz w:val="16"/>
              </w:rPr>
              <w:t xml:space="preserve">LO 1.3  </w:t>
            </w:r>
            <w:r>
              <w:rPr>
                <w:rFonts w:cs="Arial"/>
                <w:b w:val="false"/>
                <w:i w:val="false"/>
                <w:color w:val="000000"/>
                <w:sz w:val="16"/>
              </w:rPr>
              <w:t>Evaluate personal leadership performance and develop an individual leadership development plan</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i w:val="false"/>
                <w:color w:val="002516"/>
                <w:sz w:val="16"/>
              </w:rPr>
              <w:t xml:space="preserve">LO 1.1  </w:t>
            </w:r>
            <w:r>
              <w:rPr>
                <w:rFonts w:cs="Arial"/>
                <w:b w:val="false"/>
                <w:i w:val="false"/>
                <w:color w:val="000000"/>
                <w:sz w:val="16"/>
              </w:rPr>
              <w:t>Demonstrate Army ethos and values through leadership behaviour under challenging conditions</w:t>
            </w:r>
            <w:r>
              <w:rPr/>
              <w:br/>
            </w:r>
            <w:r>
              <w:rPr>
                <w:rFonts w:cs="Arial"/>
                <w:b/>
                <w:i w:val="false"/>
                <w:color w:val="002516"/>
                <w:sz w:val="16"/>
              </w:rPr>
              <w:t xml:space="preserve">LO 1.2  </w:t>
            </w:r>
            <w:r>
              <w:rPr>
                <w:rFonts w:cs="Arial"/>
                <w:b w:val="false"/>
                <w:i w:val="false"/>
                <w:color w:val="000000"/>
                <w:sz w:val="16"/>
              </w:rPr>
              <w:t>Evaluate personal leadership behaviour and its impact on others</w:t>
            </w:r>
            <w:r>
              <w:rPr/>
              <w:br/>
            </w:r>
            <w:r>
              <w:rPr>
                <w:rFonts w:cs="Arial"/>
                <w:b/>
                <w:i w:val="false"/>
                <w:color w:val="002516"/>
                <w:sz w:val="16"/>
              </w:rPr>
              <w:t xml:space="preserve">LO 1.3  </w:t>
            </w:r>
            <w:r>
              <w:rPr>
                <w:rFonts w:cs="Arial"/>
                <w:b w:val="false"/>
                <w:i w:val="false"/>
                <w:color w:val="000000"/>
                <w:sz w:val="16"/>
              </w:rPr>
              <w:t>Adapt leadership behaviour to improve effectiveness</w:t>
            </w:r>
            <w:r>
              <w:rPr/>
              <w:br/>
            </w:r>
            <w:r>
              <w:rPr>
                <w:rFonts w:cs="Arial"/>
                <w:b/>
                <w:i w:val="false"/>
                <w:color w:val="002516"/>
                <w:sz w:val="16"/>
              </w:rPr>
              <w:t xml:space="preserve">LO 1.4  </w:t>
            </w:r>
            <w:r>
              <w:rPr>
                <w:rFonts w:cs="Arial"/>
                <w:b w:val="false"/>
                <w:i w:val="false"/>
                <w:color w:val="000000"/>
                <w:sz w:val="16"/>
              </w:rPr>
              <w:t>Develop an individual leadership development strategy</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i w:val="false"/>
                <w:color w:val="002516"/>
                <w:sz w:val="16"/>
              </w:rPr>
              <w:t xml:space="preserve">LO 1.1  </w:t>
            </w:r>
            <w:r>
              <w:rPr>
                <w:rFonts w:cs="Arial"/>
                <w:b w:val="false"/>
                <w:i w:val="false"/>
                <w:color w:val="000000"/>
                <w:sz w:val="16"/>
              </w:rPr>
              <w:t>Demonstrate Army ethos, values and sound judgement within complex environments</w:t>
            </w:r>
            <w:r>
              <w:rPr/>
              <w:br/>
            </w:r>
            <w:r>
              <w:rPr>
                <w:rFonts w:cs="Arial"/>
                <w:b/>
                <w:i w:val="false"/>
                <w:color w:val="002516"/>
                <w:sz w:val="16"/>
              </w:rPr>
              <w:t xml:space="preserve">LO 1.2  </w:t>
            </w:r>
            <w:r>
              <w:rPr>
                <w:rFonts w:cs="Arial"/>
                <w:b w:val="false"/>
                <w:i w:val="false"/>
                <w:color w:val="000000"/>
                <w:sz w:val="16"/>
              </w:rPr>
              <w:t>Analyse relationships and interdependencies within a complex system</w:t>
            </w:r>
            <w:r>
              <w:rPr/>
              <w:br/>
            </w:r>
            <w:r>
              <w:rPr>
                <w:rFonts w:cs="Arial"/>
                <w:b/>
                <w:i w:val="false"/>
                <w:color w:val="002516"/>
                <w:sz w:val="16"/>
              </w:rPr>
              <w:t xml:space="preserve">LO 1.3  </w:t>
            </w:r>
            <w:r>
              <w:rPr>
                <w:rFonts w:cs="Arial"/>
                <w:b w:val="false"/>
                <w:i w:val="false"/>
                <w:color w:val="000000"/>
                <w:sz w:val="16"/>
              </w:rPr>
              <w:t>Influence others to achieve outcomes beyond direct authority</w:t>
            </w:r>
            <w:r>
              <w:rPr/>
              <w:br/>
            </w:r>
            <w:r>
              <w:rPr>
                <w:rFonts w:cs="Arial"/>
                <w:b/>
                <w:i w:val="false"/>
                <w:color w:val="002516"/>
                <w:sz w:val="16"/>
              </w:rPr>
              <w:t xml:space="preserve">LO 1.4  </w:t>
            </w:r>
            <w:r>
              <w:rPr>
                <w:rFonts w:cs="Arial"/>
                <w:b w:val="false"/>
                <w:i w:val="false"/>
                <w:color w:val="000000"/>
                <w:sz w:val="16"/>
              </w:rPr>
              <w:t>Evaluate and adapt leadership behaviour to improve system effectiveness</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i w:val="false"/>
                <w:color w:val="002516"/>
                <w:sz w:val="16"/>
              </w:rPr>
              <w:t xml:space="preserve">LO 1.1  </w:t>
            </w:r>
            <w:r>
              <w:rPr>
                <w:rFonts w:cs="Arial"/>
                <w:b w:val="false"/>
                <w:i w:val="false"/>
                <w:color w:val="000000"/>
                <w:sz w:val="16"/>
              </w:rPr>
              <w:t>Evaluate personal command behaviour, judgement and bias</w:t>
            </w:r>
            <w:r>
              <w:rPr/>
              <w:br/>
            </w:r>
            <w:r>
              <w:rPr>
                <w:rFonts w:cs="Arial"/>
                <w:b/>
                <w:i w:val="false"/>
                <w:color w:val="002516"/>
                <w:sz w:val="16"/>
              </w:rPr>
              <w:t xml:space="preserve">LO 1.2  </w:t>
            </w:r>
            <w:r>
              <w:rPr>
                <w:rFonts w:cs="Arial"/>
                <w:b w:val="false"/>
                <w:i w:val="false"/>
                <w:color w:val="000000"/>
                <w:sz w:val="16"/>
              </w:rPr>
              <w:t>Exercise judgement and make decisions in complex and demanding conditions</w:t>
            </w:r>
            <w:r>
              <w:rPr/>
              <w:br/>
            </w:r>
            <w:r>
              <w:rPr>
                <w:rFonts w:cs="Arial"/>
                <w:b/>
                <w:i w:val="false"/>
                <w:color w:val="002516"/>
                <w:sz w:val="16"/>
              </w:rPr>
              <w:t xml:space="preserve">LO 1.3  </w:t>
            </w:r>
            <w:r>
              <w:rPr>
                <w:rFonts w:cs="Arial"/>
                <w:b w:val="false"/>
                <w:i w:val="false"/>
                <w:color w:val="000000"/>
                <w:sz w:val="16"/>
              </w:rPr>
              <w:t>Create the conditions for effective team and organisational performance</w:t>
            </w:r>
            <w:r>
              <w:rPr/>
              <w:br/>
            </w:r>
            <w:r>
              <w:rPr>
                <w:rFonts w:cs="Arial"/>
                <w:b/>
                <w:i w:val="false"/>
                <w:color w:val="002516"/>
                <w:sz w:val="16"/>
              </w:rPr>
              <w:t xml:space="preserve">LO 1.4  </w:t>
            </w:r>
            <w:r>
              <w:rPr>
                <w:rFonts w:cs="Arial"/>
                <w:b w:val="false"/>
                <w:i w:val="false"/>
                <w:color w:val="000000"/>
                <w:sz w:val="16"/>
              </w:rPr>
              <w:t>Establish strategies for sustained command effectiveness across changing contexts</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Next step</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ELDA Lead Leaders</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ELDA Lead Systems or ELDA Command, as appropriate to career pathway</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ELDA Command, as appropriate to career pathway</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Command and senior leadership appointments</w:t>
            </w:r>
          </w:p>
        </w:tc>
      </w:tr>
    </w:tbl>
    <w:p>
      <w:pPr>
        <w:sectPr>
          <w:headerReference w:type="default" r:id="rId9"/>
          <w:headerReference w:type="first" r:id="rId10"/>
          <w:footerReference w:type="default" r:id="rId11"/>
          <w:footerReference w:type="first" r:id="rId12"/>
          <w:type w:val="nextPage"/>
          <w:pgSz w:orient="landscape" w:w="16838" w:h="11906"/>
          <w:pgMar w:left="1020" w:right="1020" w:gutter="0" w:header="397" w:top="624" w:footer="397" w:bottom="624"/>
          <w:pgNumType w:fmt="decimal"/>
          <w:formProt w:val="false"/>
          <w:textDirection w:val="lrTb"/>
          <w:docGrid w:type="default" w:linePitch="360" w:charSpace="0"/>
        </w:sectPr>
        <w:pStyle w:val="Normal"/>
        <w:pBdr>
          <w:left w:val="single" w:sz="28" w:space="8" w:color="C62026"/>
        </w:pBdr>
        <w:shd w:val="clear" w:color="auto" w:fill="CDD2B7"/>
        <w:spacing w:before="160" w:after="0"/>
        <w:ind w:left="227" w:right="227"/>
        <w:rPr/>
      </w:pPr>
      <w:r>
        <w:rPr>
          <w:rFonts w:cs="Arial"/>
          <w:b/>
          <w:i w:val="false"/>
          <w:color w:val="000000"/>
          <w:sz w:val="17"/>
        </w:rPr>
        <w:t>The pathway is not simply an increase in physical difficulty. It is an increase in the scope, complexity and reach of leadership: from leading a team, to understanding one's impact on other leaders, to influencing outcomes across a wider system, to integrating these capabilities into command judgement and the deliberate creation of the conditions for organisational effectiveness.</w:t>
      </w:r>
    </w:p>
    <w:p>
      <w:pPr>
        <w:pStyle w:val="Heading1"/>
        <w:rPr/>
      </w:pPr>
      <w:bookmarkStart w:id="1" w:name="__RefHeading___Toc1472_2181157710"/>
      <w:bookmarkEnd w:id="1"/>
      <w:r>
        <w:rPr>
          <w:rFonts w:cs="Arial"/>
          <w:b/>
          <w:i w:val="false"/>
          <w:sz w:val="40"/>
        </w:rPr>
        <w:t>Points for Validation</w:t>
      </w:r>
    </w:p>
    <w:p>
      <w:pPr>
        <w:pStyle w:val="Normal"/>
        <w:pBdr>
          <w:bottom w:val="single" w:sz="18" w:space="8" w:color="C62026"/>
        </w:pBdr>
        <w:spacing w:before="0" w:after="80"/>
        <w:rPr/>
      </w:pPr>
      <w:r>
        <w:rPr>
          <w:rFonts w:cs="Arial"/>
          <w:b/>
          <w:i w:val="false"/>
          <w:color w:val="002516"/>
          <w:sz w:val="24"/>
        </w:rPr>
        <w:t>Administrative entries to confirm before publication</w:t>
      </w:r>
    </w:p>
    <w:p>
      <w:pPr>
        <w:pStyle w:val="Normal"/>
        <w:spacing w:before="160" w:after="100"/>
        <w:rPr/>
      </w:pPr>
      <w:r>
        <w:rPr>
          <w:rFonts w:cs="Arial"/>
          <w:b w:val="false"/>
          <w:i w:val="false"/>
        </w:rPr>
        <w:t>The learning outcomes, aims and notes in this portfolio are the proposed redraft. The entries below were carried over from the current data sheets and are marked in the sheets as retained, subject to confirmation or subject to review. Each is to be validated and the placeholder wording replaced before the package is submitted as the authoritative revision.</w:t>
      </w:r>
    </w:p>
    <w:p>
      <w:pPr>
        <w:pStyle w:val="Normal"/>
        <w:keepNext w:val="true"/>
        <w:spacing w:before="160" w:after="60"/>
        <w:rPr/>
      </w:pPr>
      <w:r>
        <w:rPr>
          <w:rFonts w:cs="Arial"/>
          <w:b/>
          <w:i w:val="false"/>
          <w:color w:val="002516"/>
          <w:sz w:val="21"/>
        </w:rPr>
        <w:t>Across all courses</w:t>
      </w:r>
    </w:p>
    <w:p>
      <w:pPr>
        <w:pStyle w:val="Normal"/>
        <w:tabs>
          <w:tab w:val="clear" w:pos="720"/>
          <w:tab w:val="left" w:pos="397" w:leader="none"/>
        </w:tabs>
        <w:spacing w:before="60" w:after="40"/>
        <w:ind w:hanging="397" w:left="397"/>
        <w:rPr/>
      </w:pPr>
      <w:r>
        <w:rPr>
          <w:rFonts w:cs="Arial"/>
          <w:b w:val="false"/>
        </w:rPr>
        <w:t>1.</w:t>
        <w:tab/>
      </w:r>
      <w:r>
        <w:rPr>
          <w:rFonts w:cs="Arial"/>
          <w:b/>
          <w:i w:val="false"/>
        </w:rPr>
        <w:t>Qualifications / Certifications.</w:t>
      </w:r>
      <w:r>
        <w:rPr>
          <w:rFonts w:cs="Arial"/>
          <w:b w:val="false"/>
          <w:i w:val="false"/>
        </w:rPr>
        <w:t xml:space="preserve"> Confirm whether AA18001 to AA18007 are formal qualifications or certifications awarded on completion, or activity result codes. The notes in each data sheet state that the adventure activity is the experiential vehicle, not the learning outcome; if the codes are result codes, relabel the field in the supporting documentation so it does not imply a substantive adventure qualification.</w:t>
      </w:r>
    </w:p>
    <w:p>
      <w:pPr>
        <w:pStyle w:val="Normal"/>
        <w:tabs>
          <w:tab w:val="clear" w:pos="720"/>
          <w:tab w:val="left" w:pos="397" w:leader="none"/>
        </w:tabs>
        <w:spacing w:before="60" w:after="40"/>
        <w:ind w:hanging="397" w:left="397"/>
        <w:rPr/>
      </w:pPr>
      <w:r>
        <w:rPr>
          <w:rFonts w:cs="Arial"/>
          <w:b w:val="false"/>
        </w:rPr>
        <w:t>2.</w:t>
        <w:tab/>
      </w:r>
      <w:r>
        <w:rPr>
          <w:rFonts w:cs="Arial"/>
          <w:b/>
          <w:i w:val="false"/>
        </w:rPr>
        <w:t>Governance Body.</w:t>
      </w:r>
      <w:r>
        <w:rPr>
          <w:rFonts w:cs="Arial"/>
          <w:b w:val="false"/>
          <w:i w:val="false"/>
        </w:rPr>
        <w:t xml:space="preserve"> Confirm that the Army Training Review Board (ATRB) remains the governance body for all four courses.</w:t>
      </w:r>
    </w:p>
    <w:p>
      <w:pPr>
        <w:pStyle w:val="Normal"/>
        <w:tabs>
          <w:tab w:val="clear" w:pos="720"/>
          <w:tab w:val="left" w:pos="397" w:leader="none"/>
        </w:tabs>
        <w:spacing w:before="60" w:after="40"/>
        <w:ind w:hanging="397" w:left="397"/>
        <w:rPr/>
      </w:pPr>
      <w:r>
        <w:rPr>
          <w:rFonts w:cs="Arial"/>
          <w:b w:val="false"/>
        </w:rPr>
        <w:t>3.</w:t>
        <w:tab/>
      </w:r>
      <w:r>
        <w:rPr>
          <w:rFonts w:cs="Arial"/>
          <w:b/>
          <w:i w:val="false"/>
        </w:rPr>
        <w:t>Included Courses.</w:t>
      </w:r>
      <w:r>
        <w:rPr>
          <w:rFonts w:cs="Arial"/>
          <w:b w:val="false"/>
          <w:i w:val="false"/>
        </w:rPr>
        <w:t xml:space="preserve"> Confirm the current SOLO administrative configuration for each course and record it explicitly.</w:t>
      </w:r>
    </w:p>
    <w:p>
      <w:pPr>
        <w:pStyle w:val="Normal"/>
        <w:tabs>
          <w:tab w:val="clear" w:pos="720"/>
          <w:tab w:val="left" w:pos="397" w:leader="none"/>
        </w:tabs>
        <w:spacing w:before="60" w:after="40"/>
        <w:ind w:hanging="397" w:left="397"/>
        <w:rPr/>
      </w:pPr>
      <w:r>
        <w:rPr>
          <w:rFonts w:cs="Arial"/>
          <w:b w:val="false"/>
        </w:rPr>
        <w:t>4.</w:t>
        <w:tab/>
      </w:r>
      <w:r>
        <w:rPr>
          <w:rFonts w:cs="Arial"/>
          <w:b/>
          <w:i w:val="false"/>
        </w:rPr>
        <w:t>Staff qualifications.</w:t>
      </w:r>
      <w:r>
        <w:rPr>
          <w:rFonts w:cs="Arial"/>
          <w:b w:val="false"/>
          <w:i w:val="false"/>
        </w:rPr>
        <w:t xml:space="preserve"> Confirm the NZALC Activity SOP references and instructor-to-learner ratios against the current NZALC Safety Management Plan and activity SOPs.</w:t>
      </w:r>
    </w:p>
    <w:p>
      <w:pPr>
        <w:pStyle w:val="Normal"/>
        <w:keepNext w:val="true"/>
        <w:spacing w:before="160" w:after="60"/>
        <w:rPr/>
      </w:pPr>
      <w:r>
        <w:rPr>
          <w:rFonts w:cs="Arial"/>
          <w:b/>
          <w:i w:val="false"/>
          <w:color w:val="002516"/>
          <w:sz w:val="21"/>
        </w:rPr>
        <w:t>A18011 ELDA Lead Teams</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Entry Requirements.</w:t>
      </w:r>
      <w:r>
        <w:rPr>
          <w:rFonts w:cs="Arial"/>
          <w:b w:val="false"/>
          <w:i w:val="false"/>
        </w:rPr>
        <w:t xml:space="preserve"> The existing A1530 entry requirements and prerequisite codes are carried forward by reference only. List them explicitly once verified in SOLO, so this sheet matches the specificity of the other three.</w:t>
      </w:r>
    </w:p>
    <w:p>
      <w:pPr>
        <w:pStyle w:val="Normal"/>
        <w:tabs>
          <w:tab w:val="clear" w:pos="720"/>
          <w:tab w:val="left" w:pos="397" w:leader="none"/>
        </w:tabs>
        <w:spacing w:before="60" w:after="40"/>
        <w:ind w:hanging="397" w:left="397"/>
        <w:rPr/>
      </w:pPr>
      <w:r>
        <w:rPr>
          <w:rFonts w:cs="Arial"/>
          <w:b w:val="false"/>
        </w:rPr>
        <w:t>2.</w:t>
        <w:tab/>
      </w:r>
      <w:r>
        <w:rPr>
          <w:rFonts w:cs="Arial"/>
          <w:b/>
          <w:i w:val="false"/>
        </w:rPr>
        <w:t>Manual Checks.</w:t>
      </w:r>
      <w:r>
        <w:rPr>
          <w:rFonts w:cs="Arial"/>
          <w:b w:val="false"/>
          <w:i w:val="false"/>
        </w:rPr>
        <w:t xml:space="preserve"> Confirm the medical fitness requirement for prolonged field activity carrying FSMO against the NZALC Safety Management Plan and applicable NZDF medical policy.</w:t>
      </w:r>
    </w:p>
    <w:p>
      <w:pPr>
        <w:pStyle w:val="Normal"/>
        <w:tabs>
          <w:tab w:val="clear" w:pos="720"/>
          <w:tab w:val="left" w:pos="397" w:leader="none"/>
        </w:tabs>
        <w:spacing w:before="60" w:after="40"/>
        <w:ind w:hanging="397" w:left="397"/>
        <w:rPr/>
      </w:pPr>
      <w:r>
        <w:rPr>
          <w:rFonts w:cs="Arial"/>
          <w:b w:val="false"/>
        </w:rPr>
        <w:t>3.</w:t>
        <w:tab/>
      </w:r>
      <w:r>
        <w:rPr>
          <w:rFonts w:cs="Arial"/>
          <w:b/>
          <w:i w:val="false"/>
        </w:rPr>
        <w:t>Note 3.</w:t>
      </w:r>
      <w:r>
        <w:rPr>
          <w:rFonts w:cs="Arial"/>
          <w:b w:val="false"/>
          <w:i w:val="false"/>
        </w:rPr>
        <w:t xml:space="preserve"> Confirm that delivery before D03020 LDS Lead Teams remains a current sequencing requirement.</w:t>
      </w:r>
    </w:p>
    <w:p>
      <w:pPr>
        <w:pStyle w:val="Normal"/>
        <w:keepNext w:val="true"/>
        <w:spacing w:before="160" w:after="60"/>
        <w:rPr/>
      </w:pPr>
      <w:r>
        <w:rPr>
          <w:rFonts w:cs="Arial"/>
          <w:b/>
          <w:i w:val="false"/>
          <w:color w:val="002516"/>
          <w:sz w:val="21"/>
        </w:rPr>
        <w:t>A18008 ELDA Lead Leaders</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Entry Requirements.</w:t>
      </w:r>
      <w:r>
        <w:rPr>
          <w:rFonts w:cs="Arial"/>
          <w:b w:val="false"/>
          <w:i w:val="false"/>
        </w:rPr>
        <w:t xml:space="preserve"> Confirm the DLMS medical classification, Service fitness requirement and prerequisite codes D03030 (Regular Force) and D03003 (OB) against current NZDF policy.</w:t>
      </w:r>
    </w:p>
    <w:p>
      <w:pPr>
        <w:pStyle w:val="Normal"/>
        <w:tabs>
          <w:tab w:val="clear" w:pos="720"/>
          <w:tab w:val="left" w:pos="397" w:leader="none"/>
        </w:tabs>
        <w:spacing w:before="60" w:after="40"/>
        <w:ind w:hanging="397" w:left="397"/>
        <w:rPr/>
      </w:pPr>
      <w:r>
        <w:rPr>
          <w:rFonts w:cs="Arial"/>
          <w:b w:val="false"/>
        </w:rPr>
        <w:t>2.</w:t>
        <w:tab/>
      </w:r>
      <w:r>
        <w:rPr>
          <w:rFonts w:cs="Arial"/>
          <w:b/>
          <w:i w:val="false"/>
        </w:rPr>
        <w:t>Non-NZDF Personnel Suitability.</w:t>
      </w:r>
      <w:r>
        <w:rPr>
          <w:rFonts w:cs="Arial"/>
          <w:b w:val="false"/>
          <w:i w:val="false"/>
        </w:rPr>
        <w:t xml:space="preserve"> The current administrative setting is carried forward subject to review; record the confirmed setting.</w:t>
      </w:r>
    </w:p>
    <w:p>
      <w:pPr>
        <w:pStyle w:val="Normal"/>
        <w:keepNext w:val="true"/>
        <w:spacing w:before="160" w:after="60"/>
        <w:rPr/>
      </w:pPr>
      <w:r>
        <w:rPr>
          <w:rFonts w:cs="Arial"/>
          <w:b/>
          <w:i w:val="false"/>
          <w:color w:val="002516"/>
          <w:sz w:val="21"/>
        </w:rPr>
        <w:t>A18010 ELDA Lead Systems</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Entry Requirements.</w:t>
      </w:r>
      <w:r>
        <w:rPr>
          <w:rFonts w:cs="Arial"/>
          <w:b w:val="false"/>
          <w:i w:val="false"/>
        </w:rPr>
        <w:t xml:space="preserve"> Confirm the medical classification (A4 G3 Z1 or higher) and fitness requirement (Pass or higher) against current NZDF policy.</w:t>
      </w:r>
    </w:p>
    <w:p>
      <w:pPr>
        <w:pStyle w:val="Normal"/>
        <w:keepNext w:val="true"/>
        <w:spacing w:before="160" w:after="60"/>
        <w:rPr/>
      </w:pPr>
      <w:r>
        <w:rPr>
          <w:rFonts w:cs="Arial"/>
          <w:b/>
          <w:i w:val="false"/>
          <w:color w:val="002516"/>
          <w:sz w:val="21"/>
        </w:rPr>
        <w:t>A18009 ELDA Command</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Entry Requirements.</w:t>
      </w:r>
      <w:r>
        <w:rPr>
          <w:rFonts w:cs="Arial"/>
          <w:b w:val="false"/>
          <w:i w:val="false"/>
        </w:rPr>
        <w:t xml:space="preserve"> Confirm the medical classification (A4 G3 Z1 or higher) and fitness requirement (Pass or higher) against current NZDF policy.</w:t>
      </w:r>
    </w:p>
    <w:p>
      <w:pPr>
        <w:pStyle w:val="Normal"/>
        <w:tabs>
          <w:tab w:val="clear" w:pos="720"/>
          <w:tab w:val="left" w:pos="397" w:leader="none"/>
        </w:tabs>
        <w:spacing w:before="60" w:after="40"/>
        <w:ind w:hanging="397" w:left="397"/>
        <w:rPr/>
      </w:pPr>
      <w:r>
        <w:rPr>
          <w:rFonts w:cs="Arial"/>
          <w:b w:val="false"/>
        </w:rPr>
        <w:t>2.</w:t>
        <w:tab/>
      </w:r>
      <w:r>
        <w:rPr>
          <w:rFonts w:cs="Arial"/>
          <w:b/>
          <w:i w:val="false"/>
        </w:rPr>
        <w:t>Manual Checks.</w:t>
      </w:r>
      <w:r>
        <w:rPr>
          <w:rFonts w:cs="Arial"/>
          <w:b w:val="false"/>
          <w:i w:val="false"/>
        </w:rPr>
        <w:t xml:space="preserve"> Confirm whether the current reference to HQ Joint Forces NZ SOP 10-75 remains current; retain it only if so.</w:t>
      </w:r>
      <w:r>
        <w:br w:type="page"/>
      </w:r>
    </w:p>
    <w:p>
      <w:pPr>
        <w:pStyle w:val="Heading1"/>
        <w:spacing w:before="240" w:after="20"/>
        <w:rPr/>
      </w:pPr>
      <w:bookmarkStart w:id="2" w:name="__RefHeading___Toc1474_2181157710"/>
      <w:bookmarkEnd w:id="2"/>
      <w:r>
        <w:rPr>
          <w:rFonts w:cs="Arial"/>
          <w:b/>
          <w:color w:val="000000"/>
          <w:sz w:val="40"/>
        </w:rPr>
        <w:t>A18011 ELDA Lead Teams</w:t>
      </w:r>
    </w:p>
    <w:p>
      <w:pPr>
        <w:pStyle w:val="Normal"/>
        <w:pBdr>
          <w:bottom w:val="single" w:sz="18" w:space="8" w:color="C62026"/>
        </w:pBdr>
        <w:spacing w:before="0" w:after="80"/>
        <w:rPr/>
      </w:pPr>
      <w:r>
        <w:rPr>
          <w:rFonts w:cs="Arial"/>
          <w:b/>
          <w:color w:val="002516"/>
          <w:sz w:val="24"/>
        </w:rPr>
        <w:t>Proposed Revised 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A18011, AL 3.0</w:t>
      </w:r>
      <w:r>
        <w:rPr>
          <w:rFonts w:cs="Arial"/>
        </w:rPr>
        <w:t xml:space="preserve">      </w:t>
      </w:r>
      <w:r>
        <w:rPr>
          <w:rFonts w:cs="Arial"/>
          <w:b/>
          <w:color w:val="002516"/>
          <w:sz w:val="18"/>
        </w:rPr>
        <w:t xml:space="preserve">Date  </w:t>
      </w:r>
      <w:r>
        <w:rPr>
          <w:rFonts w:cs="Arial"/>
          <w:color w:val="000000"/>
          <w:sz w:val="18"/>
        </w:rPr>
        <w:t>September 2026</w:t>
      </w:r>
      <w:r>
        <w:rPr>
          <w:rFonts w:cs="Arial"/>
        </w:rPr>
        <w:t xml:space="preserve">      </w:t>
      </w:r>
      <w:r>
        <w:rPr>
          <w:rFonts w:cs="Arial"/>
          <w:b/>
          <w:color w:val="002516"/>
          <w:sz w:val="18"/>
        </w:rPr>
        <w:t xml:space="preserve">Status  </w:t>
      </w:r>
      <w:r>
        <w:rPr>
          <w:rFonts w:cs="Arial"/>
          <w:color w:val="000000"/>
          <w:sz w:val="18"/>
        </w:rPr>
        <w:t>Draft for Validation</w:t>
      </w:r>
    </w:p>
    <w:p>
      <w:pPr>
        <w:pStyle w:val="Heading2"/>
        <w:rPr/>
      </w:pPr>
      <w:bookmarkStart w:id="3" w:name="__RefHeading___Toc1476_2181157710"/>
      <w:bookmarkEnd w:id="3"/>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leadership and self-management strategies developed on ELDA Lead Teams throughout the remainder of the A1530 JNCO Course and in the workplace.</w:t>
            </w:r>
            <w:r>
              <w:rPr/>
              <w:br/>
            </w:r>
            <w:r>
              <w:rPr>
                <w:rFonts w:cs="Arial"/>
                <w:b w:val="false"/>
                <w:i w:val="false"/>
                <w:sz w:val="20"/>
              </w:rPr>
              <w:t>2. Continue deliberate reflection, self-evaluation and development of individual leadership effectiveness.</w:t>
            </w:r>
          </w:p>
        </w:tc>
      </w:tr>
    </w:tbl>
    <w:p>
      <w:pPr>
        <w:pStyle w:val="Normal"/>
        <w:spacing w:before="0" w:after="80"/>
        <w:rPr/>
      </w:pPr>
      <w:r>
        <w:rPr/>
      </w:r>
    </w:p>
    <w:p>
      <w:pPr>
        <w:pStyle w:val="Heading2"/>
        <w:rPr/>
      </w:pPr>
      <w:bookmarkStart w:id="4" w:name="__RefHeading___Toc1478_2181157710"/>
      <w:bookmarkEnd w:id="4"/>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bl>
    <w:p>
      <w:pPr>
        <w:pStyle w:val="Normal"/>
        <w:spacing w:before="0" w:after="80"/>
        <w:rPr/>
      </w:pPr>
      <w:r>
        <w:rPr/>
      </w:r>
    </w:p>
    <w:p>
      <w:pPr>
        <w:pStyle w:val="Heading2"/>
        <w:rPr/>
      </w:pPr>
      <w:bookmarkStart w:id="5" w:name="__RefHeading___Toc1480_2181157710"/>
      <w:bookmarkEnd w:id="5"/>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2"/>
        <w:rPr/>
      </w:pPr>
      <w:bookmarkStart w:id="6" w:name="__RefHeading___Toc1482_2181157710"/>
      <w:bookmarkEnd w:id="6"/>
      <w:r>
        <w:rPr>
          <w:rFonts w:cs="Arial"/>
          <w:b/>
          <w:i w:val="false"/>
          <w:color w:val="002516"/>
          <w:sz w:val="24"/>
        </w:rPr>
        <w:t>Nominations and Enrolments</w:t>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2"/>
        <w:rPr/>
      </w:pPr>
      <w:bookmarkStart w:id="7" w:name="__RefHeading___Toc1484_2181157710"/>
      <w:bookmarkEnd w:id="7"/>
      <w:r>
        <w:rPr>
          <w:rFonts w:cs="Arial"/>
          <w:b/>
          <w:i w:val="false"/>
          <w:color w:val="002516"/>
          <w:sz w:val="24"/>
        </w:rPr>
        <w:t>Course Structure</w:t>
      </w:r>
    </w:p>
    <w:p>
      <w:pPr>
        <w:pStyle w:val="Normal"/>
        <w:keepNext w:val="true"/>
        <w:spacing w:before="160" w:after="60"/>
        <w:rPr/>
      </w:pPr>
      <w:r>
        <w:rPr>
          <w:rFonts w:cs="Arial"/>
          <w:b/>
          <w:i w:val="false"/>
          <w:color w:val="002516"/>
          <w:sz w:val="21"/>
        </w:rPr>
        <w:t>COG 1: Experiential Leadership Development</w:t>
      </w:r>
    </w:p>
    <w:p>
      <w:pPr>
        <w:pStyle w:val="Normal"/>
        <w:keepNext w:val="true"/>
        <w:spacing w:before="120" w:after="60"/>
        <w:rPr/>
      </w:pPr>
      <w:r>
        <w:rPr>
          <w:rFonts w:cs="Arial"/>
          <w:b/>
          <w:i w:val="false"/>
          <w:color w:val="000000"/>
          <w:sz w:val="20"/>
        </w:rPr>
        <w:t>LO 1.1: Apply strategies to maintain effective performance under pressure</w:t>
      </w:r>
    </w:p>
    <w:p>
      <w:pPr>
        <w:pStyle w:val="Normal"/>
        <w:rPr/>
      </w:pPr>
      <w:r>
        <w:rPr>
          <w:rFonts w:cs="Arial"/>
          <w:b w:val="false"/>
          <w:i w:val="false"/>
        </w:rPr>
        <w:t>Learners apply appropriate self-management strategies to maintain effective individual performance when exposed to physical, cognitive and interpersonal pressure.</w:t>
      </w:r>
    </w:p>
    <w:p>
      <w:pPr>
        <w:pStyle w:val="Normal"/>
        <w:rPr/>
      </w:pPr>
      <w:r>
        <w:rPr>
          <w:rFonts w:cs="Arial"/>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b/>
          <w:i w:val="false"/>
          <w:color w:val="000000"/>
          <w:sz w:val="20"/>
        </w:rPr>
        <w:t>LO 1.2: Apply effective leadership behaviours within a small team under challenging conditions</w:t>
      </w:r>
    </w:p>
    <w:p>
      <w:pPr>
        <w:pStyle w:val="Normal"/>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b/>
          <w:i w:val="false"/>
          <w:color w:val="000000"/>
          <w:sz w:val="20"/>
        </w:rPr>
        <w:t>LO 1.3: Evaluate personal leadership performance and develop an individual leadership development plan</w:t>
      </w:r>
    </w:p>
    <w:p>
      <w:pPr>
        <w:pStyle w:val="Normal"/>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rPr/>
      </w:pPr>
      <w:r>
        <w:rPr>
          <w:rFonts w:cs="Arial"/>
          <w:b w:val="false"/>
          <w:i w:val="false"/>
        </w:rPr>
        <w:t>The three LO titles are assessable as written. Enabling objectives, learning content, activities and the evidence required against each LO are defined in the syllabus, not in this data sheet.</w:t>
      </w:r>
      <w:r>
        <w:br w:type="page"/>
      </w:r>
    </w:p>
    <w:p>
      <w:pPr>
        <w:pStyle w:val="Heading1"/>
        <w:spacing w:before="240" w:after="20"/>
        <w:rPr/>
      </w:pPr>
      <w:bookmarkStart w:id="8" w:name="__RefHeading___Toc1486_2181157710"/>
      <w:bookmarkEnd w:id="8"/>
      <w:r>
        <w:rPr>
          <w:rFonts w:cs="Arial"/>
          <w:b/>
          <w:color w:val="000000"/>
          <w:sz w:val="40"/>
        </w:rPr>
        <w:t>A18008 ELDA Lead Leaders</w:t>
      </w:r>
    </w:p>
    <w:p>
      <w:pPr>
        <w:pStyle w:val="Normal"/>
        <w:pBdr>
          <w:bottom w:val="single" w:sz="18" w:space="8" w:color="C62026"/>
        </w:pBdr>
        <w:spacing w:before="0" w:after="80"/>
        <w:rPr/>
      </w:pPr>
      <w:r>
        <w:rPr>
          <w:rFonts w:cs="Arial"/>
          <w:b/>
          <w:color w:val="002516"/>
          <w:sz w:val="24"/>
        </w:rPr>
        <w:t>Proposed Revised 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A18008, AL 3.1</w:t>
      </w:r>
      <w:r>
        <w:rPr>
          <w:rFonts w:cs="Arial"/>
        </w:rPr>
        <w:t xml:space="preserve">      </w:t>
      </w:r>
      <w:r>
        <w:rPr>
          <w:rFonts w:cs="Arial"/>
          <w:b/>
          <w:color w:val="002516"/>
          <w:sz w:val="18"/>
        </w:rPr>
        <w:t xml:space="preserve">Date  </w:t>
      </w:r>
      <w:r>
        <w:rPr>
          <w:rFonts w:cs="Arial"/>
          <w:color w:val="000000"/>
          <w:sz w:val="18"/>
        </w:rPr>
        <w:t>September 2026</w:t>
      </w:r>
      <w:r>
        <w:rPr>
          <w:rFonts w:cs="Arial"/>
        </w:rPr>
        <w:t xml:space="preserve">      </w:t>
      </w:r>
      <w:r>
        <w:rPr>
          <w:rFonts w:cs="Arial"/>
          <w:b/>
          <w:color w:val="002516"/>
          <w:sz w:val="18"/>
        </w:rPr>
        <w:t xml:space="preserve">Status  </w:t>
      </w:r>
      <w:r>
        <w:rPr>
          <w:rFonts w:cs="Arial"/>
          <w:color w:val="000000"/>
          <w:sz w:val="18"/>
        </w:rPr>
        <w:t>Draft for Validation</w:t>
      </w:r>
    </w:p>
    <w:p>
      <w:pPr>
        <w:pStyle w:val="Heading2"/>
        <w:rPr/>
      </w:pPr>
      <w:bookmarkStart w:id="9" w:name="__RefHeading___Toc1488_2181157710"/>
      <w:bookmarkEnd w:id="9"/>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A18008</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Leaders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Leaders is to develop leadership effectiveness through increased self-awareness, reflection and deliberate adaptation of leadership behaviour in physically, cognitively and interpersonally challenging environments.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remain current and accurately represent the qualification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Regular Force Officers in the ranks of 2LT and LT.</w:t>
            </w:r>
            <w:r>
              <w:rPr/>
              <w:br/>
            </w:r>
            <w:r>
              <w:rPr>
                <w:rFonts w:cs="Arial"/>
                <w:b w:val="false"/>
                <w:i w:val="false"/>
                <w:sz w:val="20"/>
              </w:rPr>
              <w:t>2. Regular Force NCOs accepted onto the A1531 Regular Force All Arms Senior Non-Commissioned Officer Promotion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evaluate their leadership behaviour and its impact on others, and deliberately adapt their behaviour to improve leadership effectiveness across a range of contexts.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Continue to apply, evaluate and adapt individual leadership behaviours in subsequent leadership appointments and workplace contexts.</w:t>
            </w:r>
            <w:r>
              <w:rPr/>
              <w:br/>
            </w:r>
            <w:r>
              <w:rPr>
                <w:rFonts w:cs="Arial"/>
                <w:b w:val="false"/>
                <w:i w:val="false"/>
                <w:sz w:val="20"/>
              </w:rPr>
              <w:t>2. Continue deliberate leadership development through ongoing reflection, feedback and behavioural strategy development.</w:t>
            </w:r>
            <w:r>
              <w:rPr/>
              <w:br/>
            </w:r>
            <w:r>
              <w:rPr>
                <w:rFonts w:cs="Arial"/>
                <w:b w:val="false"/>
                <w:i w:val="false"/>
                <w:sz w:val="20"/>
              </w:rPr>
              <w:t>3. Progress to ELDA Command and/or ELDA Lead Systems, where appropriate to career pathway and appointment.</w:t>
            </w:r>
          </w:p>
        </w:tc>
      </w:tr>
    </w:tbl>
    <w:p>
      <w:pPr>
        <w:pStyle w:val="Normal"/>
        <w:spacing w:before="0" w:after="80"/>
        <w:rPr/>
      </w:pPr>
      <w:r>
        <w:rPr/>
      </w:r>
    </w:p>
    <w:p>
      <w:pPr>
        <w:pStyle w:val="Heading2"/>
        <w:rPr/>
      </w:pPr>
      <w:bookmarkStart w:id="10" w:name="__RefHeading___Toc1490_2181157710"/>
      <w:bookmarkEnd w:id="10"/>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fitness and prerequisite requirements, subject to confirmation against current NZDF policy and course codes: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classification requirements.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Current Service fitness requirements.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D03030 LDS Lead Leaders (Regular Force), or D03003 OB LDS Lead Leaders, as applicable.</w:t>
      </w:r>
    </w:p>
    <w:p>
      <w:pPr>
        <w:pStyle w:val="Normal"/>
        <w:keepNext w:val="true"/>
        <w:spacing w:before="160" w:after="6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Learners accepted to attend the applicable Lead Leaders course must have met the relevant course entry and prerequisite requirements.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Attendance outside the established target learner population requires CI NZALC approval.</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5</w:t>
            </w:r>
            <w:r>
              <w:rPr/>
              <w:br/>
            </w:r>
            <w:r>
              <w:rPr>
                <w:rFonts w:cs="Arial"/>
                <w:b w:val="false"/>
                <w:i w:val="false"/>
                <w:sz w:val="20"/>
              </w:rPr>
              <w:t>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 xml:space="preserve">• </w:t>
            </w:r>
            <w:r>
              <w:rPr>
                <w:rFonts w:cs="Arial"/>
                <w:b w:val="false"/>
                <w:i w:val="false"/>
                <w:sz w:val="20"/>
              </w:rPr>
              <w:t>Speaking: 7</w:t>
            </w:r>
            <w:r>
              <w:rPr/>
              <w:br/>
            </w:r>
            <w:r>
              <w:rPr>
                <w:rFonts w:cs="Arial"/>
                <w:b w:val="false"/>
                <w:i w:val="false"/>
                <w:sz w:val="20"/>
              </w:rPr>
              <w:t>• Listening: 7</w:t>
            </w:r>
            <w:r>
              <w:rPr/>
              <w:br/>
            </w:r>
            <w:r>
              <w:rPr>
                <w:rFonts w:cs="Arial"/>
                <w:b w:val="false"/>
                <w:i w:val="false"/>
                <w:sz w:val="20"/>
              </w:rPr>
              <w:t>• Reading: 5</w:t>
            </w:r>
            <w:r>
              <w:rPr/>
              <w:br/>
            </w:r>
            <w:r>
              <w:rPr>
                <w:rFonts w:cs="Arial"/>
                <w:b w:val="false"/>
                <w:i w:val="false"/>
                <w:sz w:val="20"/>
              </w:rPr>
              <w:t>• Writing: 5</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6</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current administrative setting, subject to review.</w:t>
            </w:r>
          </w:p>
        </w:tc>
      </w:tr>
    </w:tbl>
    <w:p>
      <w:pPr>
        <w:pStyle w:val="Normal"/>
        <w:spacing w:before="0" w:after="80"/>
        <w:rPr/>
      </w:pPr>
      <w:r>
        <w:rPr/>
      </w:r>
    </w:p>
    <w:p>
      <w:pPr>
        <w:pStyle w:val="Heading2"/>
        <w:rPr/>
      </w:pPr>
      <w:bookmarkStart w:id="11" w:name="__RefHeading___Toc1492_2181157710"/>
      <w:bookmarkEnd w:id="11"/>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2"/>
        <w:rPr/>
      </w:pPr>
      <w:bookmarkStart w:id="12" w:name="__RefHeading___Toc1494_2181157710"/>
      <w:bookmarkEnd w:id="12"/>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D-35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Priority is given to learners undertaking a career pathway for which ELDA Lead Leaders is an included or directed leadership development requirement.</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Leaders develops leadership effectiveness through experiential learning conducted in challenging environments.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adventure activity provides the experiential vehicle for leadership development;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Psychometric tools, self-evaluation, observation and feedback are used to increase learner self-awareness and understanding of their leadership behaviour and impact on others.</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Learners are provided opportunities to deliberately select, apply and evaluate alternative leadership behaviours throughout the course.</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Army ethos and values are to be demonstrated through observable leadership behaviour, particularly during periods of pressure, uncertainty and adversity.</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identified during ELDA Lead Leaders is to inform continued reflection, behavioural adaptation and deliberate leadership development beyond the course.</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Instructor allocation and activity selection remain the responsibility of NZALC and are to comply with the NZALC Safety Management Plan and applicable activity SOPs.</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2"/>
        <w:rPr/>
      </w:pPr>
      <w:bookmarkStart w:id="13" w:name="__RefHeading___Toc1496_2181157710"/>
      <w:bookmarkEnd w:id="13"/>
      <w:r>
        <w:rPr>
          <w:rFonts w:cs="Arial"/>
          <w:b/>
          <w:i w:val="false"/>
          <w:color w:val="002516"/>
          <w:sz w:val="24"/>
        </w:rPr>
        <w:t>Course Structure</w:t>
      </w:r>
    </w:p>
    <w:p>
      <w:pPr>
        <w:pStyle w:val="Normal"/>
        <w:keepNext w:val="true"/>
        <w:spacing w:before="160" w:after="60"/>
        <w:rPr/>
      </w:pPr>
      <w:r>
        <w:rPr>
          <w:rFonts w:cs="Arial"/>
          <w:b/>
          <w:i w:val="false"/>
          <w:color w:val="002516"/>
          <w:sz w:val="21"/>
        </w:rPr>
        <w:t>COG 1: Adaptive Leadership Development</w:t>
      </w:r>
    </w:p>
    <w:p>
      <w:pPr>
        <w:pStyle w:val="Normal"/>
        <w:keepNext w:val="true"/>
        <w:spacing w:before="120" w:after="60"/>
        <w:rPr/>
      </w:pPr>
      <w:r>
        <w:rPr>
          <w:rFonts w:cs="Arial"/>
          <w:b/>
          <w:i w:val="false"/>
          <w:color w:val="000000"/>
          <w:sz w:val="20"/>
        </w:rPr>
        <w:t>LO 1.1: Demonstrate Army ethos and values through leadership behaviour under challenging conditions</w:t>
      </w:r>
    </w:p>
    <w:p>
      <w:pPr>
        <w:pStyle w:val="Normal"/>
        <w:rPr/>
      </w:pPr>
      <w:r>
        <w:rPr>
          <w:rFonts w:cs="Arial"/>
          <w:b w:val="false"/>
          <w:i w:val="false"/>
        </w:rPr>
        <w:t>Learners demonstrate consistency between Army ethos and values and their observable leadership behaviour, particularly when operating under physical, cognitive and interpersonal pressure, uncertainty and adversity.</w:t>
      </w:r>
    </w:p>
    <w:p>
      <w:pPr>
        <w:pStyle w:val="Normal"/>
        <w:keepNext w:val="true"/>
        <w:spacing w:before="120" w:after="60"/>
        <w:rPr/>
      </w:pPr>
      <w:r>
        <w:rPr>
          <w:rFonts w:cs="Arial"/>
          <w:b/>
          <w:i w:val="false"/>
          <w:color w:val="000000"/>
          <w:sz w:val="20"/>
        </w:rPr>
        <w:t>LO 1.2: Evaluate personal leadership behaviour and its impact on others</w:t>
      </w:r>
    </w:p>
    <w:p>
      <w:pPr>
        <w:pStyle w:val="Normal"/>
        <w:rPr/>
      </w:pPr>
      <w:r>
        <w:rPr>
          <w:rFonts w:cs="Arial"/>
          <w:b w:val="false"/>
          <w:i w:val="false"/>
        </w:rPr>
        <w:t>Learners use self-evaluation, psychometric insight, feedback and experiential observation to develop greater awareness of their leadership preferences and behaviours, and the impact those behaviours have on others.</w:t>
      </w:r>
    </w:p>
    <w:p>
      <w:pPr>
        <w:pStyle w:val="Normal"/>
        <w:keepNext w:val="true"/>
        <w:spacing w:before="120" w:after="60"/>
        <w:rPr/>
      </w:pPr>
      <w:r>
        <w:rPr>
          <w:rFonts w:cs="Arial"/>
          <w:b/>
          <w:i w:val="false"/>
          <w:color w:val="000000"/>
          <w:sz w:val="20"/>
        </w:rPr>
        <w:t>LO 1.3: Adapt leadership behaviour to improve effectiveness</w:t>
      </w:r>
    </w:p>
    <w:p>
      <w:pPr>
        <w:pStyle w:val="Normal"/>
        <w:rPr/>
      </w:pPr>
      <w:r>
        <w:rPr>
          <w:rFonts w:cs="Arial"/>
          <w:b w:val="false"/>
          <w:i w:val="false"/>
        </w:rPr>
        <w:t>Learners deliberately select, apply and evaluate leadership behaviours appropriate to the situation, task and people being led in order to improve their leadership effectiveness.</w:t>
      </w:r>
    </w:p>
    <w:p>
      <w:pPr>
        <w:pStyle w:val="Normal"/>
        <w:keepNext w:val="true"/>
        <w:spacing w:before="120" w:after="60"/>
        <w:rPr/>
      </w:pPr>
      <w:r>
        <w:rPr>
          <w:rFonts w:cs="Arial"/>
          <w:b/>
          <w:i w:val="false"/>
          <w:color w:val="000000"/>
          <w:sz w:val="20"/>
        </w:rPr>
        <w:t>LO 1.4: Develop an individual leadership development strategy</w:t>
      </w:r>
    </w:p>
    <w:p>
      <w:pPr>
        <w:pStyle w:val="Normal"/>
        <w:rPr/>
      </w:pPr>
      <w:r>
        <w:rPr>
          <w:rFonts w:cs="Arial"/>
          <w:b w:val="false"/>
          <w:i w:val="false"/>
        </w:rPr>
        <w:t>Learners identify leadership strengths and development priorities and establish deliberate behavioural strategies to support continued leadership development across subsequent appointments and contexts.</w:t>
      </w:r>
      <w:r>
        <w:br w:type="page"/>
      </w:r>
    </w:p>
    <w:p>
      <w:pPr>
        <w:pStyle w:val="Heading1"/>
        <w:spacing w:before="240" w:after="20"/>
        <w:rPr/>
      </w:pPr>
      <w:bookmarkStart w:id="14" w:name="__RefHeading___Toc1498_2181157710"/>
      <w:bookmarkEnd w:id="14"/>
      <w:r>
        <w:rPr>
          <w:rFonts w:cs="Arial"/>
          <w:b/>
          <w:color w:val="000000"/>
          <w:sz w:val="40"/>
        </w:rPr>
        <w:t>A18010 ELDA Lead Systems</w:t>
      </w:r>
    </w:p>
    <w:p>
      <w:pPr>
        <w:pStyle w:val="Normal"/>
        <w:pBdr>
          <w:bottom w:val="single" w:sz="18" w:space="8" w:color="C62026"/>
        </w:pBdr>
        <w:spacing w:before="0" w:after="80"/>
        <w:rPr/>
      </w:pPr>
      <w:r>
        <w:rPr>
          <w:rFonts w:cs="Arial"/>
          <w:b/>
          <w:color w:val="002516"/>
          <w:sz w:val="24"/>
        </w:rPr>
        <w:t>Proposed Revised 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A18010, AL 3.0</w:t>
      </w:r>
      <w:r>
        <w:rPr>
          <w:rFonts w:cs="Arial"/>
        </w:rPr>
        <w:t xml:space="preserve">      </w:t>
      </w:r>
      <w:r>
        <w:rPr>
          <w:rFonts w:cs="Arial"/>
          <w:b/>
          <w:color w:val="002516"/>
          <w:sz w:val="18"/>
        </w:rPr>
        <w:t xml:space="preserve">Date  </w:t>
      </w:r>
      <w:r>
        <w:rPr>
          <w:rFonts w:cs="Arial"/>
          <w:color w:val="000000"/>
          <w:sz w:val="18"/>
        </w:rPr>
        <w:t>September 2026</w:t>
      </w:r>
      <w:r>
        <w:rPr>
          <w:rFonts w:cs="Arial"/>
        </w:rPr>
        <w:t xml:space="preserve">      </w:t>
      </w:r>
      <w:r>
        <w:rPr>
          <w:rFonts w:cs="Arial"/>
          <w:b/>
          <w:color w:val="002516"/>
          <w:sz w:val="18"/>
        </w:rPr>
        <w:t xml:space="preserve">Status  </w:t>
      </w:r>
      <w:r>
        <w:rPr>
          <w:rFonts w:cs="Arial"/>
          <w:color w:val="000000"/>
          <w:sz w:val="18"/>
        </w:rPr>
        <w:t>Draft for Validation</w:t>
      </w:r>
    </w:p>
    <w:p>
      <w:pPr>
        <w:pStyle w:val="Heading2"/>
        <w:rPr/>
      </w:pPr>
      <w:bookmarkStart w:id="15" w:name="__RefHeading___Toc1500_2181157710"/>
      <w:bookmarkEnd w:id="15"/>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A18010</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Systems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7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Systems is to develop leadership effectiveness within complex systems by enabling learners to understand interdependencies, influence beyond direct authority, and deliberately adapt their leadership behaviour to achieve outcomes through others.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remain current and accurately represent the activity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r>
              <w:rPr/>
              <w:br/>
            </w:r>
            <w:r>
              <w:rPr>
                <w:rFonts w:cs="Arial"/>
                <w:b w:val="false"/>
                <w:i w:val="false"/>
                <w:sz w:val="20"/>
              </w:rPr>
              <w:t>• AA18007 ELDA Adventure Racing</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SNCOs and WOs accepted onto the A1532 Regular Force All Corps Warrant Officer Course.</w:t>
            </w:r>
            <w:r>
              <w:rPr/>
              <w:br/>
            </w:r>
            <w:r>
              <w:rPr>
                <w:rFonts w:cs="Arial"/>
                <w:b w:val="false"/>
                <w:i w:val="false"/>
                <w:sz w:val="20"/>
              </w:rPr>
              <w:t>2. Captains undertaking development prior to promotion to Major.</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analyse relationships and interdependencies within complex systems and deliberately apply influence and adaptive leadership behaviours to achieve outcomes beyond their direct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systems leadership and influence strategies within increasingly complex organisational and operational contexts.</w:t>
            </w:r>
            <w:r>
              <w:rPr/>
              <w:br/>
            </w:r>
            <w:r>
              <w:rPr>
                <w:rFonts w:cs="Arial"/>
                <w:b w:val="false"/>
                <w:i w:val="false"/>
                <w:sz w:val="20"/>
              </w:rPr>
              <w:t>2. Continue deliberate reflection, feedback and adaptation of leadership behaviour.</w:t>
            </w:r>
            <w:r>
              <w:rPr/>
              <w:br/>
            </w:r>
            <w:r>
              <w:rPr>
                <w:rFonts w:cs="Arial"/>
                <w:b w:val="false"/>
                <w:i w:val="false"/>
                <w:sz w:val="20"/>
              </w:rPr>
              <w:t>3. Progress to ELDA Command, where appropriate to career pathway and appointment.</w:t>
            </w:r>
          </w:p>
        </w:tc>
      </w:tr>
    </w:tbl>
    <w:p>
      <w:pPr>
        <w:pStyle w:val="Normal"/>
        <w:spacing w:before="0" w:after="80"/>
        <w:rPr/>
      </w:pPr>
      <w:r>
        <w:rPr/>
      </w:r>
    </w:p>
    <w:p>
      <w:pPr>
        <w:pStyle w:val="Heading2"/>
        <w:rPr/>
      </w:pPr>
      <w:bookmarkStart w:id="16" w:name="__RefHeading___Toc1502_2181157710"/>
      <w:bookmarkEnd w:id="16"/>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and fitness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classification: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outside the established target learner population requires CI NZALC approval.</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All learners are to meet any additional requirements associated with the selected ELDA activity.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15</w:t>
            </w:r>
            <w:r>
              <w:rPr/>
              <w:br/>
            </w:r>
            <w:r>
              <w:rPr>
                <w:rFonts w:cs="Arial"/>
                <w:b w:val="false"/>
                <w:i w:val="false"/>
                <w:sz w:val="20"/>
              </w:rPr>
              <w:t>Maximum: 24</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 xml:space="preserve">• </w:t>
            </w:r>
            <w:r>
              <w:rPr>
                <w:rFonts w:cs="Arial"/>
                <w:b w:val="false"/>
                <w:i w:val="false"/>
                <w:sz w:val="20"/>
              </w:rPr>
              <w:t>Speaking: 7</w:t>
            </w:r>
            <w:r>
              <w:rPr/>
              <w:br/>
            </w:r>
            <w:r>
              <w:rPr>
                <w:rFonts w:cs="Arial"/>
                <w:b w:val="false"/>
                <w:i w:val="false"/>
                <w:sz w:val="20"/>
              </w:rPr>
              <w:t>• Listening: 7</w:t>
            </w:r>
            <w:r>
              <w:rPr/>
              <w:br/>
            </w:r>
            <w:r>
              <w:rPr>
                <w:rFonts w:cs="Arial"/>
                <w:b w:val="false"/>
                <w:i w:val="false"/>
                <w:sz w:val="20"/>
              </w:rPr>
              <w:t>• Reading: 5</w:t>
            </w:r>
            <w:r>
              <w:rPr/>
              <w:br/>
            </w:r>
            <w:r>
              <w:rPr>
                <w:rFonts w:cs="Arial"/>
                <w:b w:val="false"/>
                <w:i w:val="false"/>
                <w:sz w:val="20"/>
              </w:rPr>
              <w:t>• Writing: 5</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6</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2</w:t>
            </w:r>
          </w:p>
        </w:tc>
      </w:tr>
    </w:tbl>
    <w:p>
      <w:pPr>
        <w:pStyle w:val="Normal"/>
        <w:spacing w:before="0" w:after="80"/>
        <w:rPr/>
      </w:pPr>
      <w:r>
        <w:rPr/>
      </w:r>
    </w:p>
    <w:p>
      <w:pPr>
        <w:pStyle w:val="Heading2"/>
        <w:rPr/>
      </w:pPr>
      <w:bookmarkStart w:id="17" w:name="__RefHeading___Toc1504_2181157710"/>
      <w:bookmarkEnd w:id="17"/>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2"/>
        <w:rPr/>
      </w:pPr>
      <w:bookmarkStart w:id="18" w:name="__RefHeading___Toc1506_2181157710"/>
      <w:bookmarkEnd w:id="18"/>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D-35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Where ELDA Lead Systems forms part of a parent course, the nomination and enrolment process is inherited from that course.</w:t>
      </w:r>
    </w:p>
    <w:p>
      <w:pPr>
        <w:pStyle w:val="Normal"/>
        <w:keepNext w:val="true"/>
        <w:spacing w:before="160" w:after="60"/>
        <w:rPr/>
      </w:pPr>
      <w:r>
        <w:rPr>
          <w:rFonts w:cs="Arial"/>
          <w:b/>
          <w:i w:val="false"/>
          <w:color w:val="002516"/>
          <w:sz w:val="21"/>
        </w:rPr>
        <w:t>Priority Learners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Learners requiring ELDA Lead Systems as part of a promotion or directed career-development pathway, including:</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A1532 Promotion All Corps RF WO Course; and</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A1302 Staff and Tactics, Regular Force, All Corps, Grade Two Course, where applicable.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Other military personnel for whom Lead Systems is appropriate to role, appointment or career development.</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NZDF Civilian personnel, as determined by the Learning Provider.</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Systems develops leadership effectiveness within complex systems through experiential learning conducted in challenging environments.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ELDA activity provides the experiential vehicle for leadership development;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Course activities are to expose learners to interdependencies, competing priorities, incomplete information, resource constraints and relationships beyond direct authority, providing opportunities to understand and influence a wider system.</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tools, self-evaluation, observation and feedback may be used to increase learner awareness of how their leadership preferences and behaviours affect relationships, influence and outcomes within the wider system.</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to be provided opportunities to deliberately apply influence and adaptive leadership behaviours where outcomes cannot be achieved through direct authority alone.</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to be demonstrated through leadership behaviour and judgement, particularly when balancing competing demands, relationships and organisational outcomes.</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Learning identified during ELDA Lead Systems is to inform continued reflection, behavioural adaptation and deliberate leadership development beyond the course.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Instructor allocation and activity selection remain the responsibility of NZALC and are to comply with the NZALC Safety Management Plan and applicable activity SOPs.</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2"/>
        <w:rPr/>
      </w:pPr>
      <w:bookmarkStart w:id="19" w:name="__RefHeading___Toc1508_2181157710"/>
      <w:bookmarkEnd w:id="19"/>
      <w:r>
        <w:rPr>
          <w:rFonts w:cs="Arial"/>
          <w:b/>
          <w:i w:val="false"/>
          <w:color w:val="002516"/>
          <w:sz w:val="24"/>
        </w:rPr>
        <w:t>Course Structure</w:t>
      </w:r>
    </w:p>
    <w:p>
      <w:pPr>
        <w:pStyle w:val="Normal"/>
        <w:keepNext w:val="true"/>
        <w:spacing w:before="160" w:after="60"/>
        <w:rPr/>
      </w:pPr>
      <w:r>
        <w:rPr>
          <w:rFonts w:cs="Arial"/>
          <w:b/>
          <w:i w:val="false"/>
          <w:color w:val="002516"/>
          <w:sz w:val="21"/>
        </w:rPr>
        <w:t>COG 1: Systems Leadership and Influence</w:t>
      </w:r>
    </w:p>
    <w:p>
      <w:pPr>
        <w:pStyle w:val="Normal"/>
        <w:keepNext w:val="true"/>
        <w:spacing w:before="120" w:after="60"/>
        <w:rPr/>
      </w:pPr>
      <w:r>
        <w:rPr>
          <w:rFonts w:cs="Arial"/>
          <w:b/>
          <w:i w:val="false"/>
          <w:color w:val="000000"/>
          <w:sz w:val="20"/>
        </w:rPr>
        <w:t>LO 1.1: Demonstrate Army ethos, values and sound judgement within complex environments</w:t>
      </w:r>
    </w:p>
    <w:p>
      <w:pPr>
        <w:pStyle w:val="Normal"/>
        <w:rPr/>
      </w:pPr>
      <w:r>
        <w:rPr>
          <w:rFonts w:cs="Arial"/>
          <w:b w:val="false"/>
          <w:i w:val="false"/>
        </w:rPr>
        <w:t>Learners demonstrate Army ethos and values through their leadership behaviour and judgement while operating within complex environments characterised by competing demands, uncertainty, interdependence and pressure.</w:t>
      </w:r>
    </w:p>
    <w:p>
      <w:pPr>
        <w:pStyle w:val="Normal"/>
        <w:keepNext w:val="true"/>
        <w:spacing w:before="120" w:after="60"/>
        <w:rPr/>
      </w:pPr>
      <w:r>
        <w:rPr>
          <w:rFonts w:cs="Arial"/>
          <w:b/>
          <w:i w:val="false"/>
          <w:color w:val="000000"/>
          <w:sz w:val="20"/>
        </w:rPr>
        <w:t>LO 1.2: Analyse relationships and interdependencies within a complex system</w:t>
      </w:r>
    </w:p>
    <w:p>
      <w:pPr>
        <w:pStyle w:val="Normal"/>
        <w:rPr/>
      </w:pPr>
      <w:r>
        <w:rPr>
          <w:rFonts w:cs="Arial"/>
          <w:b w:val="false"/>
          <w:i w:val="false"/>
        </w:rPr>
        <w:t>Learners identify and analyse key stakeholders, relationships, dependencies, competing perspectives, constraints and potential consequences within a complex system in order to better understand how leadership actions may affect wider outcomes.</w:t>
      </w:r>
    </w:p>
    <w:p>
      <w:pPr>
        <w:pStyle w:val="Normal"/>
        <w:keepNext w:val="true"/>
        <w:spacing w:before="120" w:after="60"/>
        <w:rPr/>
      </w:pPr>
      <w:r>
        <w:rPr>
          <w:rFonts w:cs="Arial"/>
          <w:b/>
          <w:i w:val="false"/>
          <w:color w:val="000000"/>
          <w:sz w:val="20"/>
        </w:rPr>
        <w:t>LO 1.3: Influence others to achieve outcomes beyond direct authority</w:t>
      </w:r>
    </w:p>
    <w:p>
      <w:pPr>
        <w:pStyle w:val="Normal"/>
        <w:rPr/>
      </w:pPr>
      <w:r>
        <w:rPr>
          <w:rFonts w:cs="Arial"/>
          <w:b w:val="false"/>
          <w:i w:val="false"/>
        </w:rPr>
        <w:t>Learners deliberately apply communication, relationship-building and influence behaviours to achieve outcomes through individuals and groups over whom they may not exercise direct authority.</w:t>
      </w:r>
    </w:p>
    <w:p>
      <w:pPr>
        <w:pStyle w:val="Normal"/>
        <w:keepNext w:val="true"/>
        <w:spacing w:before="120" w:after="60"/>
        <w:rPr/>
      </w:pPr>
      <w:r>
        <w:rPr>
          <w:rFonts w:cs="Arial"/>
          <w:b/>
          <w:i w:val="false"/>
          <w:color w:val="000000"/>
          <w:sz w:val="20"/>
        </w:rPr>
        <w:t>LO 1.4: Evaluate and adapt leadership behaviour to improve system effectiveness</w:t>
      </w:r>
    </w:p>
    <w:p>
      <w:pPr>
        <w:pStyle w:val="Normal"/>
        <w:rPr/>
      </w:pPr>
      <w:r>
        <w:rPr>
          <w:rFonts w:cs="Arial"/>
          <w:b w:val="false"/>
          <w:i w:val="false"/>
        </w:rPr>
        <w:t>Learners evaluate the impact of their leadership behaviour on relationships, influence and wider system outcomes, and deliberately adapt their behaviour to improve leadership effectiveness across complex contexts.</w:t>
      </w:r>
      <w:r>
        <w:br w:type="page"/>
      </w:r>
    </w:p>
    <w:p>
      <w:pPr>
        <w:pStyle w:val="Heading1"/>
        <w:spacing w:before="240" w:after="20"/>
        <w:rPr/>
      </w:pPr>
      <w:bookmarkStart w:id="20" w:name="__RefHeading___Toc1510_2181157710"/>
      <w:bookmarkEnd w:id="20"/>
      <w:r>
        <w:rPr>
          <w:rFonts w:cs="Arial"/>
          <w:b/>
          <w:color w:val="000000"/>
          <w:sz w:val="40"/>
        </w:rPr>
        <w:t>A18009 ELDA Command</w:t>
      </w:r>
    </w:p>
    <w:p>
      <w:pPr>
        <w:pStyle w:val="Normal"/>
        <w:pBdr>
          <w:bottom w:val="single" w:sz="18" w:space="8" w:color="C62026"/>
        </w:pBdr>
        <w:spacing w:before="0" w:after="80"/>
        <w:rPr/>
      </w:pPr>
      <w:r>
        <w:rPr>
          <w:rFonts w:cs="Arial"/>
          <w:b/>
          <w:color w:val="002516"/>
          <w:sz w:val="24"/>
        </w:rPr>
        <w:t>Proposed Revised 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A18009, AL 2.5</w:t>
      </w:r>
      <w:r>
        <w:rPr>
          <w:rFonts w:cs="Arial"/>
        </w:rPr>
        <w:t xml:space="preserve">      </w:t>
      </w:r>
      <w:r>
        <w:rPr>
          <w:rFonts w:cs="Arial"/>
          <w:b/>
          <w:color w:val="002516"/>
          <w:sz w:val="18"/>
        </w:rPr>
        <w:t xml:space="preserve">Date  </w:t>
      </w:r>
      <w:r>
        <w:rPr>
          <w:rFonts w:cs="Arial"/>
          <w:color w:val="000000"/>
          <w:sz w:val="18"/>
        </w:rPr>
        <w:t>September 2026</w:t>
      </w:r>
      <w:r>
        <w:rPr>
          <w:rFonts w:cs="Arial"/>
        </w:rPr>
        <w:t xml:space="preserve">      </w:t>
      </w:r>
      <w:r>
        <w:rPr>
          <w:rFonts w:cs="Arial"/>
          <w:b/>
          <w:color w:val="002516"/>
          <w:sz w:val="18"/>
        </w:rPr>
        <w:t xml:space="preserve">Status  </w:t>
      </w:r>
      <w:r>
        <w:rPr>
          <w:rFonts w:cs="Arial"/>
          <w:color w:val="000000"/>
          <w:sz w:val="18"/>
        </w:rPr>
        <w:t>Draft for Validation</w:t>
      </w:r>
    </w:p>
    <w:p>
      <w:pPr>
        <w:pStyle w:val="Heading2"/>
        <w:rPr/>
      </w:pPr>
      <w:bookmarkStart w:id="21" w:name="__RefHeading___Toc1512_2181157710"/>
      <w:bookmarkEnd w:id="21"/>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A18009</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Command</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8–10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Command is to develop command effectiveness by enhancing self-awareness, judgement and deliberate leadership behaviour, enabling learners to create the conditions for effective team and organisational performance in complex and demanding environments.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accurately represent the qualification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Personnel selected for, preparing for, or currently undertaking significant command or senior leadership appointments.</w:t>
            </w:r>
            <w:r>
              <w:rPr/>
              <w:br/>
            </w:r>
            <w:r>
              <w:rPr>
                <w:rFonts w:cs="Arial"/>
                <w:b w:val="false"/>
                <w:i w:val="false"/>
                <w:sz w:val="20"/>
              </w:rPr>
              <w:t>2. Other personnel identified as requiring command-level experiential leadership development, as determined by the Learning Provider and relevant career management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evaluate how their judgement and leadership behaviour affect people, teams and organisational outcomes, and deliberately shape the conditions required for effective performance in complex and demanding contexts.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insights and strategies developed through ELDA Command within current and future command and senior leadership appointments.</w:t>
            </w:r>
            <w:r>
              <w:rPr/>
              <w:br/>
            </w:r>
            <w:r>
              <w:rPr>
                <w:rFonts w:cs="Arial"/>
                <w:b w:val="false"/>
                <w:i w:val="false"/>
                <w:sz w:val="20"/>
              </w:rPr>
              <w:t>2. Continue deliberate reflection, feedback and adaptation of command behaviour as context, responsibility and organisational complexity change.</w:t>
            </w:r>
            <w:r>
              <w:rPr/>
              <w:br/>
            </w:r>
            <w:r>
              <w:rPr>
                <w:rFonts w:cs="Arial"/>
                <w:b w:val="false"/>
                <w:i w:val="false"/>
                <w:sz w:val="20"/>
              </w:rPr>
              <w:t>3. Review and update the individual Leadership Development Plan (LDP) to reflect emerging command and leadership development priorities.</w:t>
            </w:r>
          </w:p>
        </w:tc>
      </w:tr>
    </w:tbl>
    <w:p>
      <w:pPr>
        <w:pStyle w:val="Normal"/>
        <w:spacing w:before="0" w:after="80"/>
        <w:rPr/>
      </w:pPr>
      <w:r>
        <w:rPr/>
      </w:r>
    </w:p>
    <w:p>
      <w:pPr>
        <w:pStyle w:val="Heading2"/>
        <w:rPr/>
      </w:pPr>
      <w:bookmarkStart w:id="22" w:name="__RefHeading___Toc1514_2181157710"/>
      <w:bookmarkEnd w:id="22"/>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5</w:t>
            </w:r>
            <w:r>
              <w:rPr/>
              <w:br/>
            </w:r>
            <w:r>
              <w:rPr>
                <w:rFonts w:cs="Arial"/>
                <w:b w:val="false"/>
                <w:i w:val="false"/>
                <w:sz w:val="20"/>
              </w:rPr>
              <w:t>Maximum: 8</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1</w:t>
            </w:r>
          </w:p>
        </w:tc>
      </w:tr>
    </w:tbl>
    <w:p>
      <w:pPr>
        <w:pStyle w:val="Normal"/>
        <w:spacing w:before="0" w:after="80"/>
        <w:rPr/>
      </w:pPr>
      <w:r>
        <w:rPr/>
      </w:r>
    </w:p>
    <w:p>
      <w:pPr>
        <w:pStyle w:val="Heading2"/>
        <w:rPr/>
      </w:pPr>
      <w:bookmarkStart w:id="23" w:name="__RefHeading___Toc1516_2181157710"/>
      <w:bookmarkEnd w:id="23"/>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b w:val="false"/>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command-level leadership development.</w:t>
      </w:r>
    </w:p>
    <w:p>
      <w:pPr>
        <w:pStyle w:val="Heading2"/>
        <w:rPr/>
      </w:pPr>
      <w:bookmarkStart w:id="24" w:name="__RefHeading___Toc1518_2181157710"/>
      <w:bookmarkEnd w:id="24"/>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D-15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Priority is given to personnel preparing for, or recently appointed to, significant command and senior leadership appointments, as determined by the Learning Provider in consultation with relevant career management authorities.</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Command develops command effectiveness through experiential learning conducted in complex and demanding environments involving real consequences, uncertainty, interpersonal dynamics and managed risk.</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adventure activity provides the experiential vehicle for command and leadership development; successful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The course develops strategic self-awareness by enabling learners to identify and evaluate their default behaviours, assumptions, biases and decision-making tendencies, and the effects these have on people, teams and organisational outcomes.</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leadership and team-development tools may be used to support self-awareness, reflection and team development. These tools support the learning outcomes rather than constitute learning outcomes in themselves.</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provided repeated opportunities to exercise judgement, make decisions, observe their effects, receive feedback, reflect, adapt their behaviour and reapply their learning.</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embedded throughout the course and are demonstrated through observable judgement, decision-making, use of authority, treatment of others and leadership behaviour.</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Course activities are designed to enable learners to examine how their leadership creates or inhibits the conditions required for trust, clarity, appropriate challenge, accountability, initiative and effective team performance.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Learning identified during ELDA Command is to inform the learner's ongoing Leadership Development Plan and continued development within command and senior leadership appointments.</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Course duration may vary between 8 and 10 training days depending on activity, travel requirements, learner experience and course design.</w:t>
      </w:r>
    </w:p>
    <w:p>
      <w:pPr>
        <w:pStyle w:val="Normal"/>
        <w:tabs>
          <w:tab w:val="clear" w:pos="720"/>
          <w:tab w:val="left" w:pos="397" w:leader="none"/>
        </w:tabs>
        <w:spacing w:before="60" w:after="40"/>
        <w:ind w:hanging="397" w:left="397"/>
        <w:rPr/>
      </w:pPr>
      <w:r>
        <w:rPr>
          <w:rFonts w:cs="Arial"/>
          <w:b w:val="false"/>
        </w:rPr>
        <w:t>10.</w:t>
        <w:tab/>
      </w:r>
      <w:r>
        <w:rPr>
          <w:rFonts w:cs="Arial"/>
          <w:b w:val="false"/>
          <w:i w:val="false"/>
        </w:rPr>
        <w:t>Activity selection, instructor allocation and delivery are to comply with the NZALC Safety Management Plan and applicable activity SOPs.</w:t>
      </w:r>
    </w:p>
    <w:p>
      <w:pPr>
        <w:pStyle w:val="Normal"/>
        <w:tabs>
          <w:tab w:val="clear" w:pos="720"/>
          <w:tab w:val="left" w:pos="397" w:leader="none"/>
        </w:tabs>
        <w:spacing w:before="60" w:after="40"/>
        <w:ind w:hanging="397" w:left="397"/>
        <w:rPr/>
      </w:pPr>
      <w:r>
        <w:rPr>
          <w:rFonts w:cs="Arial"/>
          <w:b w:val="false"/>
        </w:rPr>
        <w:t>11.</w:t>
        <w:tab/>
      </w:r>
      <w:r>
        <w:rPr>
          <w:rFonts w:cs="Arial"/>
          <w:b w:val="false"/>
          <w:i w:val="false"/>
        </w:rPr>
        <w:t>The Learning Provider is the New Zealand Army Leadership Centre (NZALC).</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2"/>
        <w:rPr/>
      </w:pPr>
      <w:bookmarkStart w:id="25" w:name="__RefHeading___Toc1520_2181157710"/>
      <w:bookmarkEnd w:id="25"/>
      <w:r>
        <w:rPr>
          <w:rFonts w:cs="Arial"/>
          <w:b/>
          <w:i w:val="false"/>
          <w:color w:val="002516"/>
          <w:sz w:val="24"/>
        </w:rPr>
        <w:t>Course Structure</w:t>
      </w:r>
    </w:p>
    <w:p>
      <w:pPr>
        <w:pStyle w:val="Normal"/>
        <w:keepNext w:val="true"/>
        <w:spacing w:before="160" w:after="60"/>
        <w:rPr/>
      </w:pPr>
      <w:r>
        <w:rPr>
          <w:rFonts w:cs="Arial"/>
          <w:b/>
          <w:i w:val="false"/>
          <w:color w:val="002516"/>
          <w:sz w:val="21"/>
        </w:rPr>
        <w:t>COG 1: Command Effectiveness</w:t>
      </w:r>
    </w:p>
    <w:p>
      <w:pPr>
        <w:pStyle w:val="Normal"/>
        <w:keepNext w:val="true"/>
        <w:spacing w:before="120" w:after="60"/>
        <w:rPr/>
      </w:pPr>
      <w:r>
        <w:rPr>
          <w:rFonts w:cs="Arial"/>
          <w:b/>
          <w:i w:val="false"/>
          <w:color w:val="000000"/>
          <w:sz w:val="20"/>
        </w:rPr>
        <w:t>LO 1.1: Evaluate personal command behaviour, judgement and bias</w:t>
      </w:r>
    </w:p>
    <w:p>
      <w:pPr>
        <w:pStyle w:val="Normal"/>
        <w:rPr/>
      </w:pPr>
      <w:r>
        <w:rPr>
          <w:rFonts w:cs="Arial"/>
          <w:b w:val="false"/>
          <w:i w:val="false"/>
        </w:rPr>
        <w:t>Learners critically evaluate their default behaviours, assumptions, biases and decision-making tendencies, particularly under conditions of pressure, uncertainty and complexity, and assess their effect on people, teams and organisational outcomes.</w:t>
      </w:r>
    </w:p>
    <w:p>
      <w:pPr>
        <w:pStyle w:val="Normal"/>
        <w:keepNext w:val="true"/>
        <w:spacing w:before="120" w:after="60"/>
        <w:rPr/>
      </w:pPr>
      <w:r>
        <w:rPr>
          <w:rFonts w:cs="Arial"/>
          <w:b/>
          <w:i w:val="false"/>
          <w:color w:val="000000"/>
          <w:sz w:val="20"/>
        </w:rPr>
        <w:t>LO 1.2: Exercise judgement and make decisions in complex and demanding conditions</w:t>
      </w:r>
    </w:p>
    <w:p>
      <w:pPr>
        <w:pStyle w:val="Normal"/>
        <w:rPr/>
      </w:pPr>
      <w:r>
        <w:rPr>
          <w:rFonts w:cs="Arial"/>
          <w:b w:val="false"/>
          <w:i w:val="false"/>
        </w:rPr>
        <w:t>Learners exercise judgement, balance competing demands and risk, make timely decisions with incomplete information, and review and adapt their decisions as circumstances change.</w:t>
      </w:r>
    </w:p>
    <w:p>
      <w:pPr>
        <w:pStyle w:val="Normal"/>
        <w:keepNext w:val="true"/>
        <w:spacing w:before="120" w:after="60"/>
        <w:rPr/>
      </w:pPr>
      <w:r>
        <w:rPr>
          <w:rFonts w:cs="Arial"/>
          <w:b/>
          <w:i w:val="false"/>
          <w:color w:val="000000"/>
          <w:sz w:val="20"/>
        </w:rPr>
        <w:t>LO 1.3: Create the conditions for effective team and organisational performance</w:t>
      </w:r>
    </w:p>
    <w:p>
      <w:pPr>
        <w:pStyle w:val="Normal"/>
        <w:rPr/>
      </w:pPr>
      <w:r>
        <w:rPr>
          <w:rFonts w:cs="Arial"/>
          <w:b w:val="false"/>
          <w:i w:val="false"/>
        </w:rPr>
        <w:t>Learners deliberately shape the leadership environment to enable trust, clarity, appropriate challenge, accountability, initiative and effective performance, recognising the effect their behaviour and use of authority have on others.</w:t>
      </w:r>
    </w:p>
    <w:p>
      <w:pPr>
        <w:pStyle w:val="Normal"/>
        <w:keepNext w:val="true"/>
        <w:spacing w:before="120" w:after="60"/>
        <w:rPr/>
      </w:pPr>
      <w:r>
        <w:rPr>
          <w:rFonts w:cs="Arial"/>
          <w:b/>
          <w:i w:val="false"/>
          <w:color w:val="000000"/>
          <w:sz w:val="20"/>
        </w:rPr>
        <w:t>LO 1.4: Establish strategies for sustained command effectiveness across changing contexts</w:t>
      </w:r>
    </w:p>
    <w:p>
      <w:pPr>
        <w:pStyle w:val="Normal"/>
        <w:widowControl/>
        <w:bidi w:val="0"/>
        <w:spacing w:lineRule="auto" w:line="268" w:before="0" w:after="100"/>
        <w:jc w:val="left"/>
        <w:rPr/>
      </w:pPr>
      <w:r>
        <w:rPr>
          <w:rFonts w:cs="Arial"/>
          <w:b w:val="false"/>
          <w:i w:val="false"/>
        </w:rPr>
        <w:t>Learners integrate experiential learning, feedback and self-evaluation to identify command and leadership strengths, risks and development priorities, and establish deliberate strategies for sustained command effectiveness across changing contexts and responsibilities.</w:t>
      </w:r>
    </w:p>
    <w:sectPr>
      <w:headerReference w:type="default" r:id="rId13"/>
      <w:headerReference w:type="first" r:id="rId14"/>
      <w:footerReference w:type="default" r:id="rId15"/>
      <w:footerReference w:type="first" r:id="rId16"/>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Proposed Revised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Proposed Revised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18</w:t>
    </w:r>
    <w:r>
      <w:rPr>
        <w:sz w:val="17"/>
        <w:rFonts w:cs="Arial"/>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7398" w:leader="none"/>
        <w:tab w:val="right" w:pos="14797" w:leader="none"/>
      </w:tabs>
      <w:spacing w:before="40" w:after="0"/>
      <w:rPr/>
    </w:pPr>
    <w:r>
      <w:rPr>
        <w:rFonts w:cs="Arial"/>
        <w:color w:val="000000"/>
        <w:sz w:val="17"/>
      </w:rPr>
      <w:t>Proposed Revised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18</w:t>
    </w:r>
    <w:r>
      <w:rPr>
        <w:sz w:val="17"/>
        <w:rFonts w:cs="Arial"/>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Proposed Revised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18</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18</w:t>
    </w:r>
    <w:r>
      <w:rPr>
        <w:sz w:val="17"/>
        <w:rFonts w:cs="Arial"/>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240" w:after="10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298" w:leader="dot"/>
      </w:tabs>
      <w:ind w:hanging="0" w:left="0"/>
    </w:pPr>
    <w:rPr/>
  </w:style>
  <w:style w:type="paragraph" w:styleId="TOC2">
    <w:name w:val="TOC 2"/>
    <w:basedOn w:val="Index"/>
    <w:pPr>
      <w:tabs>
        <w:tab w:val="clear" w:pos="720"/>
        <w:tab w:val="right" w:pos="901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18</Pages>
  <Words>4814</Words>
  <Characters>30086</Characters>
  <CharactersWithSpaces>34486</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2026-09-07T01:17:49Z</dcterms:modified>
  <cp:revision>2</cp:revision>
  <dc:subject/>
  <dc:title>Proposed Revised ELDA Course Portfolio</dc:title>
</cp:coreProperties>
</file>

<file path=docProps/custom.xml><?xml version="1.0" encoding="utf-8"?>
<Properties xmlns="http://schemas.openxmlformats.org/officeDocument/2006/custom-properties" xmlns:vt="http://schemas.openxmlformats.org/officeDocument/2006/docPropsVTypes"/>
</file>