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rPr/>
      </w:pPr>
      <w:r>
        <w:rPr/>
        <w:drawing>
          <wp:inline distT="0" distB="0" distL="0" distR="0">
            <wp:extent cx="1007745" cy="22987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/>
      </w:pPr>
      <w:r>
        <w:rPr>
          <w:rFonts w:cs="Arial"/>
          <w:b/>
          <w:i w:val="false"/>
          <w:color w:val="000000"/>
          <w:sz w:val="36"/>
        </w:rPr>
        <w:t>ELDA Pathway</w:t>
      </w:r>
    </w:p>
    <w:p>
      <w:pPr>
        <w:pStyle w:val="Normal"/>
        <w:pBdr>
          <w:bottom w:val="single" w:sz="18" w:space="6" w:color="C62026"/>
        </w:pBdr>
        <w:spacing w:before="0" w:after="60"/>
        <w:rPr/>
      </w:pPr>
      <w:r>
        <w:rPr>
          <w:rFonts w:cs="Arial"/>
          <w:b/>
          <w:i w:val="false"/>
          <w:color w:val="002516"/>
          <w:sz w:val="22"/>
        </w:rPr>
        <w:t>Experiential Leadership Development Activities: Course Overview</w:t>
      </w:r>
    </w:p>
    <w:p>
      <w:pPr>
        <w:pStyle w:val="Normal"/>
        <w:pBdr>
          <w:bottom w:val="single" w:sz="6" w:space="5" w:color="A89662"/>
        </w:pBdr>
        <w:spacing w:before="80" w:after="120"/>
        <w:rPr/>
      </w:pPr>
      <w:r>
        <w:rPr>
          <w:rFonts w:cs="Arial"/>
          <w:b w:val="false"/>
          <w:i w:val="false"/>
          <w:color w:val="002516"/>
          <w:sz w:val="19"/>
        </w:rPr>
        <w:t>NZ Army Leadership Centre | Army Command School</w:t>
      </w:r>
      <w:r>
        <w:rPr>
          <w:rFonts w:cs="Arial"/>
          <w:b w:val="false"/>
          <w:i w:val="false"/>
          <w:color w:val="000000"/>
          <w:sz w:val="18"/>
        </w:rPr>
        <w:t xml:space="preserve">      </w:t>
      </w:r>
      <w:r>
        <w:rPr>
          <w:rFonts w:cs="Arial"/>
          <w:b/>
          <w:i w:val="false"/>
          <w:color w:val="002516"/>
          <w:sz w:val="17"/>
        </w:rPr>
        <w:t xml:space="preserve">Reference  </w:t>
      </w:r>
      <w:r>
        <w:rPr>
          <w:rFonts w:cs="Arial"/>
          <w:b w:val="false"/>
          <w:i w:val="false"/>
          <w:color w:val="000000"/>
          <w:sz w:val="17"/>
        </w:rPr>
        <w:t>Course Data Sheets A18011, A18008, A18010, A18009</w:t>
      </w:r>
      <w:r>
        <w:rPr>
          <w:rFonts w:cs="Arial"/>
          <w:b w:val="false"/>
          <w:i w:val="false"/>
          <w:color w:val="000000"/>
          <w:sz w:val="18"/>
        </w:rPr>
        <w:t xml:space="preserve">      </w:t>
      </w:r>
      <w:r>
        <w:rPr>
          <w:rFonts w:cs="Arial"/>
          <w:b/>
          <w:i w:val="false"/>
          <w:color w:val="002516"/>
          <w:sz w:val="17"/>
        </w:rPr>
        <w:t xml:space="preserve">Date  </w:t>
      </w:r>
      <w:r>
        <w:rPr>
          <w:rFonts w:cs="Arial"/>
          <w:b w:val="false"/>
          <w:i w:val="false"/>
          <w:color w:val="000000"/>
          <w:sz w:val="17"/>
        </w:rPr>
        <w:t>September 2026</w:t>
      </w:r>
      <w:r>
        <w:rPr>
          <w:rFonts w:cs="Arial"/>
          <w:b w:val="false"/>
          <w:i w:val="false"/>
          <w:color w:val="000000"/>
          <w:sz w:val="18"/>
        </w:rPr>
        <w:t xml:space="preserve">      </w:t>
      </w:r>
      <w:r>
        <w:rPr>
          <w:rFonts w:cs="Arial"/>
          <w:b/>
          <w:i w:val="false"/>
          <w:color w:val="002516"/>
          <w:sz w:val="17"/>
        </w:rPr>
        <w:t xml:space="preserve">Status  </w:t>
      </w:r>
      <w:r>
        <w:rPr>
          <w:rFonts w:cs="Arial"/>
          <w:b w:val="false"/>
          <w:i w:val="false"/>
          <w:color w:val="000000"/>
          <w:sz w:val="17"/>
        </w:rPr>
        <w:t>Draft for Validation</w:t>
      </w:r>
    </w:p>
    <w:tbl>
      <w:tblPr>
        <w:tblW w:w="14796" w:type="dxa"/>
        <w:jc w:val="center"/>
        <w:tblInd w:w="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noHBand="0" w:noVBand="1" w:firstColumn="1" w:lastRow="0" w:lastColumn="0" w:firstRow="1"/>
      </w:tblPr>
      <w:tblGrid>
        <w:gridCol w:w="1643"/>
        <w:gridCol w:w="3288"/>
        <w:gridCol w:w="3289"/>
        <w:gridCol w:w="3288"/>
        <w:gridCol w:w="3288"/>
      </w:tblGrid>
      <w:tr>
        <w:trPr>
          <w:cantSplit w:val="true"/>
        </w:trPr>
        <w:tc>
          <w:tcPr>
            <w:tcW w:w="1643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/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20"/>
              </w:rPr>
              <w:t>ELDA Lead Teams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DD2B7"/>
                <w:sz w:val="17"/>
              </w:rPr>
              <w:t>A18011  |  6 Training Days</w:t>
            </w:r>
          </w:p>
        </w:tc>
        <w:tc>
          <w:tcPr>
            <w:tcW w:w="32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20"/>
              </w:rPr>
              <w:t>ELDA Lead Leaders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DD2B7"/>
                <w:sz w:val="17"/>
              </w:rPr>
              <w:t>A18008  |  6 Training Days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20"/>
              </w:rPr>
              <w:t>ELDA Lead Systems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DD2B7"/>
                <w:sz w:val="17"/>
              </w:rPr>
              <w:t>A18010  |  7 Training Days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20"/>
              </w:rPr>
              <w:t>ELDA Command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DD2B7"/>
                <w:sz w:val="17"/>
              </w:rPr>
              <w:t>A18009  |  8–10 Training Days</w:t>
            </w:r>
          </w:p>
        </w:tc>
      </w:tr>
      <w:tr>
        <w:trPr>
          <w:cantSplit w:val="true"/>
        </w:trPr>
        <w:tc>
          <w:tcPr>
            <w:tcW w:w="1643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Scope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pBdr>
                <w:left w:val="single" w:sz="18" w:space="4" w:color="C62026"/>
              </w:pBdr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9"/>
              </w:rPr>
              <w:t>Leading a team</w:t>
            </w:r>
          </w:p>
        </w:tc>
        <w:tc>
          <w:tcPr>
            <w:tcW w:w="32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pBdr>
                <w:left w:val="single" w:sz="18" w:space="4" w:color="C62026"/>
              </w:pBdr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9"/>
              </w:rPr>
              <w:t>Leading among leaders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pBdr>
                <w:left w:val="single" w:sz="18" w:space="4" w:color="C62026"/>
              </w:pBdr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9"/>
              </w:rPr>
              <w:t>Leading across a system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pBdr>
                <w:left w:val="single" w:sz="18" w:space="4" w:color="C62026"/>
              </w:pBdr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9"/>
              </w:rPr>
              <w:t>Leading the organisation</w:t>
            </w:r>
          </w:p>
        </w:tc>
      </w:tr>
      <w:tr>
        <w:trPr>
          <w:cantSplit w:val="true"/>
        </w:trPr>
        <w:tc>
          <w:tcPr>
            <w:tcW w:w="1643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Learners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Regular Force personnel selected for the A1530 Promotion All Corps RF JNCO Course.</w:t>
            </w:r>
          </w:p>
        </w:tc>
        <w:tc>
          <w:tcPr>
            <w:tcW w:w="32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Regular Force Officers (2LT and LT); Regular Force NCOs accepted onto the A1531 SNCO Promotion Course.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SNCOs and WOs accepted onto the A1532 All Corps Warrant Officer Course; Captains preparing for promotion to Major.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Personnel selected for, preparing for, or undertaking significant command or senior leadership appointments.</w:t>
            </w:r>
          </w:p>
        </w:tc>
      </w:tr>
      <w:tr>
        <w:trPr>
          <w:cantSplit w:val="true"/>
        </w:trPr>
        <w:tc>
          <w:tcPr>
            <w:tcW w:w="1643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Aim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Individual leadership effectiveness through small-team leadership under pressure.</w:t>
            </w:r>
          </w:p>
        </w:tc>
        <w:tc>
          <w:tcPr>
            <w:tcW w:w="32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Leadership effectiveness through self-awareness, reflection and deliberate adaptation of leadership behaviour.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Leadership effectiveness within complex systems: interdependencies and influence beyond direct authority.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Command effectiveness through self-awareness, judgement and creating the conditions for organisational performance.</w:t>
            </w:r>
          </w:p>
        </w:tc>
      </w:tr>
      <w:tr>
        <w:trPr>
          <w:cantSplit w:val="true"/>
        </w:trPr>
        <w:tc>
          <w:tcPr>
            <w:tcW w:w="1643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Developmental logic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jc w:val="center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SELF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TEAM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REFLECT</w:t>
            </w:r>
          </w:p>
        </w:tc>
        <w:tc>
          <w:tcPr>
            <w:tcW w:w="32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jc w:val="center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VALUES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SELF-AWARENESS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ADAPT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DEVELOP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jc w:val="center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VALUES &amp; JUDGEMENT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SYSTEM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INFLUENCE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ADAPT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jc w:val="center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STRATEGIC SELF-AWARENESS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JUDGEMENT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CONDITIONS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DELIBERATE DEVELOPMENT</w:t>
            </w:r>
          </w:p>
        </w:tc>
      </w:tr>
      <w:tr>
        <w:trPr>
          <w:cantSplit w:val="true"/>
        </w:trPr>
        <w:tc>
          <w:tcPr>
            <w:tcW w:w="1643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Learning outcomes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1.1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Apply strategies to maintain effective performance under pressure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1.2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Apply effective leadership behaviours within a small team under challenging conditions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1.3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Evaluate personal leadership performance and develop an individual leadership development plan</w:t>
            </w:r>
          </w:p>
        </w:tc>
        <w:tc>
          <w:tcPr>
            <w:tcW w:w="32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1.1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Demonstrate Army ethos and values through leadership behaviour under challenging conditions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1.2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Evaluate personal leadership behaviour and its impact on others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1.3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Adapt leadership behaviour to improve effectiveness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1.4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Develop an individual leadership development strategy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1.1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Demonstrate Army ethos, values and sound judgement within complex environments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1.2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Analyse relationships and interdependencies within a complex system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1.3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Influence others to achieve outcomes beyond direct authority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1.4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Evaluate and adapt leadership behaviour to improve system effectiveness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1.1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Evaluate personal command behaviour, judgement and bias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1.2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Exercise judgement and make decisions in complex and demanding conditions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1.3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Create the conditions for effective team and organisational performance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1.4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Establish strategies for sustained command effectiveness across changing contexts</w:t>
            </w:r>
          </w:p>
        </w:tc>
      </w:tr>
      <w:tr>
        <w:trPr>
          <w:cantSplit w:val="true"/>
        </w:trPr>
        <w:tc>
          <w:tcPr>
            <w:tcW w:w="1643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Next step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ELDA Lead Leaders</w:t>
            </w:r>
          </w:p>
        </w:tc>
        <w:tc>
          <w:tcPr>
            <w:tcW w:w="32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ELDA Lead Systems or ELDA Command, as appropriate to career pathway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ELDA Command, as appropriate to career pathway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Command and senior leadership appointments</w:t>
            </w:r>
          </w:p>
        </w:tc>
      </w:tr>
    </w:tbl>
    <w:p>
      <w:pPr>
        <w:pStyle w:val="Normal"/>
        <w:pBdr>
          <w:left w:val="single" w:sz="28" w:space="8" w:color="C62026"/>
        </w:pBdr>
        <w:shd w:val="clear" w:color="auto" w:fill="CDD2B7"/>
        <w:spacing w:before="160" w:after="0"/>
        <w:ind w:left="227" w:right="227"/>
        <w:rPr/>
      </w:pPr>
      <w:r>
        <w:rPr>
          <w:rFonts w:cs="Arial"/>
          <w:b/>
          <w:i w:val="false"/>
          <w:color w:val="000000"/>
          <w:sz w:val="17"/>
        </w:rPr>
        <w:t>The pathway is not simply an increase in physical difficulty. It is an increase in the scope, complexity and reach of leadership: from leading a team, to understanding one's impact on other leaders, to influencing outcomes across a wider system, to integrating these capabilities into command judgement and the deliberate creation of the conditions for organisational effectiveness.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orient="landscape" w:w="16838" w:h="11906"/>
      <w:pgMar w:left="1020" w:right="1020" w:gutter="0" w:header="397" w:top="624" w:footer="397" w:bottom="62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cs="Arial"/>
        <w:b/>
        <w:i w:val="false"/>
        <w:color w:val="000000"/>
        <w:sz w:val="20"/>
      </w:rPr>
      <w:t>UNCLASSIFIED</w:t>
    </w:r>
  </w:p>
  <w:p>
    <w:pPr>
      <w:pStyle w:val="Normal"/>
      <w:tabs>
        <w:tab w:val="clear" w:pos="720"/>
        <w:tab w:val="center" w:pos="7398" w:leader="none"/>
        <w:tab w:val="right" w:pos="14797" w:leader="none"/>
      </w:tabs>
      <w:spacing w:before="40" w:after="0"/>
      <w:rPr/>
    </w:pPr>
    <w:r>
      <w:rPr>
        <w:rFonts w:cs="Arial"/>
        <w:b w:val="false"/>
        <w:i w:val="false"/>
        <w:color w:val="000000"/>
        <w:sz w:val="17"/>
      </w:rPr>
      <w:t>ELDA Pathway Overview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  <w:r>
      <w:rPr>
        <w:rFonts w:cs="Arial"/>
        <w:b w:val="false"/>
        <w:i w:val="false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cs="Arial"/>
        <w:b/>
        <w:i w:val="false"/>
        <w:color w:val="000000"/>
        <w:sz w:val="20"/>
      </w:rPr>
      <w:t>UNCLASSIFIED</w:t>
    </w:r>
  </w:p>
  <w:p>
    <w:pPr>
      <w:pStyle w:val="Normal"/>
      <w:tabs>
        <w:tab w:val="clear" w:pos="720"/>
        <w:tab w:val="center" w:pos="7398" w:leader="none"/>
        <w:tab w:val="right" w:pos="14797" w:leader="none"/>
      </w:tabs>
      <w:spacing w:before="40" w:after="0"/>
      <w:rPr/>
    </w:pPr>
    <w:r>
      <w:rPr>
        <w:rFonts w:cs="Arial"/>
        <w:b w:val="false"/>
        <w:i w:val="false"/>
        <w:color w:val="000000"/>
        <w:sz w:val="17"/>
      </w:rPr>
      <w:t>ELDA Pathway Overview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  <w:r>
      <w:rPr>
        <w:rFonts w:cs="Arial"/>
        <w:b w:val="false"/>
        <w:i w:val="false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>
        <w:rFonts w:cs="Arial"/>
        <w:b/>
        <w:i w:val="false"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>
        <w:rFonts w:cs="Arial"/>
        <w:b/>
        <w:i w:val="false"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WenQuanYi Zen Hei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49" w:before="0" w:after="0"/>
      <w:jc w:val="left"/>
    </w:pPr>
    <w:rPr>
      <w:rFonts w:ascii="Arial" w:hAnsi="Arial" w:cs="Arial" w:eastAsia="WenQuanYi Zen Hei"/>
      <w:color w:val="000000"/>
      <w:kern w:val="0"/>
      <w:sz w:val="18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473</Words>
  <Characters>2901</Characters>
  <CharactersWithSpaces>3373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NZ Army Leadership Centre | Army Command School</dc:creator>
  <dc:description>generated by python-docx</dc:description>
  <dc:language>en-US</dc:language>
  <cp:lastModifiedBy/>
  <dcterms:modified xsi:type="dcterms:W3CDTF">2026-09-07T01:17:17Z</dcterms:modified>
  <cp:revision>2</cp:revision>
  <dc:subject/>
  <dc:title>ELDA Pathway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