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880" w:after="1280"/>
        <w:rPr/>
      </w:pPr>
      <w:r>
        <w:rPr/>
        <w:drawing>
          <wp:inline distT="0" distB="0" distL="0" distR="0">
            <wp:extent cx="2160270" cy="5213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pBdr>
          <w:bottom w:val="single" w:sz="20" w:space="10" w:color="C62026"/>
        </w:pBdr>
        <w:spacing w:before="0" w:after="200"/>
        <w:rPr/>
      </w:pPr>
      <w:r>
        <w:rPr>
          <w:rFonts w:cs="Arial" w:ascii="Arial" w:hAnsi="Arial"/>
          <w:b/>
          <w:color w:val="000000"/>
          <w:sz w:val="52"/>
        </w:rPr>
        <w:t>Combat Mindset — Proposed Way Forward</w:t>
      </w:r>
    </w:p>
    <w:p>
      <w:pPr>
        <w:pStyle w:val="Normal"/>
        <w:spacing w:before="120" w:after="2400"/>
        <w:rPr/>
      </w:pPr>
      <w:r>
        <w:rPr>
          <w:rFonts w:cs="Arial" w:ascii="Arial" w:hAnsi="Arial"/>
          <w:color w:val="002516"/>
          <w:sz w:val="26"/>
        </w:rPr>
        <w:t>Joint NZALC and Human Performance Cell response to COMDT ACS</w:t>
      </w:r>
    </w:p>
    <w:p>
      <w:pPr>
        <w:pStyle w:val="Normal"/>
        <w:pBdr>
          <w:top w:val="single" w:sz="6" w:space="6" w:color="A89662"/>
        </w:pBdr>
        <w:tabs>
          <w:tab w:val="clear" w:pos="720"/>
          <w:tab w:val="left" w:pos="1814" w:leader="none"/>
        </w:tabs>
        <w:spacing w:before="0" w:after="60"/>
        <w:rPr/>
      </w:pPr>
      <w:r>
        <w:rPr>
          <w:rFonts w:cs="Arial" w:ascii="Arial" w:hAnsi="Arial"/>
          <w:b/>
          <w:color w:val="002516"/>
          <w:sz w:val="20"/>
        </w:rPr>
        <w:t>Reference</w:t>
        <w:tab/>
      </w:r>
      <w:r>
        <w:rPr>
          <w:rFonts w:cs="Arial" w:ascii="Arial" w:hAnsi="Arial"/>
          <w:color w:val="000000"/>
          <w:sz w:val="20"/>
        </w:rPr>
        <w:t>NZALC/HPC 2026</w:t>
      </w:r>
    </w:p>
    <w:p>
      <w:pPr>
        <w:pStyle w:val="Normal"/>
        <w:tabs>
          <w:tab w:val="clear" w:pos="720"/>
          <w:tab w:val="left" w:pos="1814" w:leader="none"/>
        </w:tabs>
        <w:spacing w:before="0" w:after="60"/>
        <w:rPr/>
      </w:pPr>
      <w:r>
        <w:rPr>
          <w:rFonts w:cs="Arial" w:ascii="Arial" w:hAnsi="Arial"/>
          <w:b/>
          <w:color w:val="002516"/>
          <w:sz w:val="20"/>
        </w:rPr>
        <w:t>Date</w:t>
        <w:tab/>
      </w:r>
      <w:r>
        <w:rPr>
          <w:rFonts w:cs="Arial" w:ascii="Arial" w:hAnsi="Arial"/>
          <w:color w:val="000000"/>
          <w:sz w:val="20"/>
        </w:rPr>
        <w:t>July 2026</w:t>
      </w:r>
    </w:p>
    <w:p>
      <w:pPr>
        <w:pStyle w:val="Normal"/>
        <w:tabs>
          <w:tab w:val="clear" w:pos="720"/>
          <w:tab w:val="left" w:pos="1814" w:leader="none"/>
        </w:tabs>
        <w:spacing w:before="0" w:after="60"/>
        <w:rPr/>
      </w:pPr>
      <w:r>
        <w:rPr>
          <w:rFonts w:cs="Arial" w:ascii="Arial" w:hAnsi="Arial"/>
          <w:b/>
          <w:color w:val="002516"/>
          <w:sz w:val="20"/>
        </w:rPr>
        <w:t>Originator</w:t>
        <w:tab/>
      </w:r>
      <w:r>
        <w:rPr>
          <w:rFonts w:cs="Arial" w:ascii="Arial" w:hAnsi="Arial"/>
          <w:color w:val="000000"/>
          <w:sz w:val="20"/>
        </w:rPr>
        <w:t>Major M Coom, CI NZALC · ____, Human Performance Cell</w:t>
      </w:r>
    </w:p>
    <w:p>
      <w:pPr>
        <w:pStyle w:val="Normal"/>
        <w:tabs>
          <w:tab w:val="clear" w:pos="720"/>
          <w:tab w:val="left" w:pos="1814" w:leader="none"/>
        </w:tabs>
        <w:spacing w:before="0" w:after="60"/>
        <w:rPr/>
      </w:pPr>
      <w:r>
        <w:rPr>
          <w:rFonts w:cs="Arial" w:ascii="Arial" w:hAnsi="Arial"/>
          <w:b/>
          <w:color w:val="002516"/>
          <w:sz w:val="20"/>
        </w:rPr>
        <w:t>Version</w:t>
        <w:tab/>
      </w:r>
      <w:r>
        <w:rPr>
          <w:rFonts w:cs="Arial" w:ascii="Arial" w:hAnsi="Arial"/>
          <w:color w:val="000000"/>
          <w:sz w:val="20"/>
        </w:rPr>
        <w:t>Draft v0.1</w:t>
      </w:r>
    </w:p>
    <w:p>
      <w:pPr>
        <w:pStyle w:val="Normal"/>
        <w:pBdr>
          <w:bottom w:val="single" w:sz="6" w:space="6" w:color="A89662"/>
        </w:pBdr>
        <w:tabs>
          <w:tab w:val="clear" w:pos="720"/>
          <w:tab w:val="left" w:pos="1814" w:leader="none"/>
        </w:tabs>
        <w:spacing w:before="0" w:after="60"/>
        <w:rPr/>
      </w:pPr>
      <w:r>
        <w:rPr>
          <w:rFonts w:cs="Arial" w:ascii="Arial" w:hAnsi="Arial"/>
          <w:b/>
          <w:color w:val="002516"/>
          <w:sz w:val="20"/>
        </w:rPr>
        <w:t>Distribution</w:t>
        <w:tab/>
      </w:r>
      <w:r>
        <w:rPr>
          <w:rFonts w:cs="Arial" w:ascii="Arial" w:hAnsi="Arial"/>
          <w:color w:val="000000"/>
          <w:sz w:val="20"/>
        </w:rPr>
        <w:t>COMDT ACS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rFonts w:cs="Book Antiqua"/>
          <w:b w:val="false"/>
          <w:i w:val="false"/>
        </w:rPr>
        <w:t>*Joint NZALC and Human Performance Cell response to COMDT ACS*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Purpose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This paper responds to COMDT ACS direction of 16 July 2026 for NZALC and the Human Performance Cell to jointly develop a strategy to close the Combat Mindset doctrine and policy gap. It proposes an agreed problem statement, a terminology construct for decision, a joint programme of work, and governance arrangements.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References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A. COMDT ACS email — Combat Mindset, dated 16 July 2026.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B. COMDT ACS — Combat Mindset Guidance [Draft], July 2026.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C. NZALC Draft Capability Note — Performance Under Pressure and Combat Mindset in the New Zealand Army, July 2026.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1. The problem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Reference A identifies that Army has no defined doctrine or policy supporting Combat Mindset, despite the term being in active use and despite Army's drive toward an increased Warfighter Focus. References B and C independently reach the same diagnosis:</w:t>
      </w:r>
    </w:p>
    <w:p>
      <w:pPr>
        <w:pStyle w:val="Normal"/>
        <w:spacing w:before="120" w:after="160"/>
        <w:ind w:left="567" w:right="567"/>
        <w:rPr/>
      </w:pPr>
      <w:r>
        <w:rPr>
          <w:rFonts w:cs="Book Antiqua"/>
          <w:b w:val="false"/>
          <w:i/>
        </w:rPr>
        <w:t>The challenge is not a lack of content. It is a lack of visibility, integration, doctrine and strategic ownership across the substantial capability that already exists within ACS, NZALC, the Human Performance Cell, NZDF Psychology and ILD.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The underlying operational problem remains as stated at Reference C:</w:t>
      </w:r>
    </w:p>
    <w:p>
      <w:pPr>
        <w:pStyle w:val="Normal"/>
        <w:spacing w:before="120" w:after="160"/>
        <w:ind w:left="567" w:right="567"/>
        <w:rPr/>
      </w:pPr>
      <w:r>
        <w:rPr>
          <w:rFonts w:cs="Book Antiqua"/>
          <w:b w:val="false"/>
          <w:i/>
        </w:rPr>
        <w:t>Under operational pressure, trained individuals and teams do not always retain access to their full capability.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NZALC and HPC agree this diagnosis requires no further analysis before work begins. The gap is institutional, not intellectual.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2. Terminology — decision sought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References B and C differ on one structural point: which term sits at the top of the hierarchy. This is the single decision required before the framework can be drafted. Two options are offered.</w:t>
      </w:r>
    </w:p>
    <w:p>
      <w:pPr>
        <w:pStyle w:val="Heading2"/>
        <w:rPr/>
      </w:pPr>
      <w:r>
        <w:rPr>
          <w:rFonts w:cs="Arial" w:ascii="Arial" w:hAnsi="Arial"/>
          <w:b/>
          <w:i w:val="false"/>
          <w:color w:val="000000"/>
          <w:sz w:val="22"/>
        </w:rPr>
        <w:t>Option 1 — Combat Mindset as the brand; Performance Under Pressure as the mechanism (recommended)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Combat Mindset is the Army-owned banner and orienting purpose, aligned to Warfighter Focus. Performance Under Pressure is the doctrinal mechanism that sits beneath it — the trained individual and collective capacity the brand runs on.</w:t>
      </w:r>
    </w:p>
    <w:p>
      <w:pPr>
        <w:pStyle w:val="Normal"/>
        <w:pBdr>
          <w:left w:val="single" w:sz="28" w:space="8" w:color="C62026"/>
        </w:pBdr>
        <w:shd w:val="clear" w:color="auto" w:fill="CDD2B7"/>
        <w:spacing w:before="200" w:after="200"/>
        <w:ind w:left="340" w:right="340"/>
        <w:rPr/>
      </w:pPr>
      <w:r>
        <w:rPr>
          <w:rFonts w:cs="Book Antiqua"/>
          <w:b/>
          <w:i w:val="false"/>
        </w:rPr>
        <w:t>Combat Mindset is why: acting decisively, persistently and ethically in combat, and being harder to kill. Performance Under Pressure is how: the trained capacity to prepare for, remain effective through, adapt within and recover from pressure.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Preserves Combat Mindset as the recognisable, operationally credible Army brand.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Keeps the underlying doctrine applicable Army-wide — command, crisis response, garrison leadership and high-risk technical activity, where pressure exists without an enemy.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Guards against Combat Mindset being misread as aggression or motivation alone.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Allows the doctrinal construct to nest cleanly beneath the brand in doctrine, learning design and assessment.</w:t>
      </w:r>
    </w:p>
    <w:p>
      <w:pPr>
        <w:pStyle w:val="Heading2"/>
        <w:rPr/>
      </w:pPr>
      <w:r>
        <w:rPr>
          <w:rFonts w:cs="Arial" w:ascii="Arial" w:hAnsi="Arial"/>
          <w:b/>
          <w:i w:val="false"/>
          <w:color w:val="000000"/>
          <w:sz w:val="22"/>
        </w:rPr>
        <w:t>Option 2 — Combat Mindset as the umbrella capability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Combat Mindset is the overarching capability, integrating leadership, human performance, resilience, mental skills and performance cognition, with performance under pressure expressed as its intended effect.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Maximises simplicity: one term, one capability, one framework.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Risks excluding the majority of Army activity that is demanding but not combat, and re-importing the definitional confusion identified at Reference C.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Both options deliver Reference B's end state. NZALC and HPC jointly recommend Option 1, and will implement whichever option COMDT ACS selects.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3. What already exists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A full joint map is the first task of the programme of work. In outline, the known holdings are: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NZALC — the Performance Under Pressure package (Performance = Potential – Interference, Red Head–Blue Head, Prepare–Perform–Recover, the mental-skills toolkit), embedded across Lead Self, Lead Teams, Lead Leaders and Lead Systems, with experiential delivery, psychometrics, feedback and Leadership Development Plans.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Human Performance Cell — the Performance Cognition programme (COGCON), including arousal regulation, attention control, cognitive flexibility, decision-making under cognitive load and dual-task performance development, with an associated evidence and measurement base.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NZDF Psychology and ILD — supporting content, professional expertise and delivery capacity to be confirmed during mapping.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Initial review indicates the NZALC mental-skills toolkit and the COGCON constructs map closely — for example arousal regulation to tactical breathing and grounding, attention control to noticing and chunking, cognitive flexibility to reframing, and decision-making under load to game planning. The framework will integrate these into a single evidence-based strand rather than two parallel vocabularies. This mapping will be validated jointly during Phase 1.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4. Proposed programme of work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1.</w:t>
        <w:tab/>
      </w:r>
      <w:r>
        <w:rPr>
          <w:rFonts w:cs="Book Antiqua"/>
          <w:b/>
          <w:i w:val="false"/>
        </w:rPr>
        <w:t>Phase 0 — Governance and definition (by end July 2026).</w:t>
      </w:r>
    </w:p>
    <w:p>
      <w:pPr>
        <w:pStyle w:val="Normal"/>
        <w:spacing w:before="0" w:after="120"/>
        <w:ind w:left="425"/>
        <w:rPr/>
      </w:pPr>
      <w:r>
        <w:rPr>
          <w:rFonts w:cs="Book Antiqua"/>
          <w:b w:val="false"/>
          <w:i w:val="false"/>
        </w:rPr>
        <w:t>Confirm sponsorship and sub-sponsorship arrangements, endorse the problem statement, and select the terminology option at paragraph 2. Draft the Army-endorsed definition of Combat Mindset for staffing.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2.</w:t>
        <w:tab/>
      </w:r>
      <w:r>
        <w:rPr>
          <w:rFonts w:cs="Book Antiqua"/>
          <w:b/>
          <w:i w:val="false"/>
        </w:rPr>
        <w:t>Phase 1 — Joint mapping and gap analysis (August 2026).</w:t>
      </w:r>
    </w:p>
    <w:p>
      <w:pPr>
        <w:pStyle w:val="Normal"/>
        <w:spacing w:before="0" w:after="120"/>
        <w:ind w:left="425"/>
        <w:rPr/>
      </w:pPr>
      <w:r>
        <w:rPr>
          <w:rFonts w:cs="Book Antiqua"/>
          <w:b w:val="false"/>
          <w:i w:val="false"/>
        </w:rPr>
        <w:t>Map existing content, courses, instructor capability, delivery activity and assurance mechanisms across ACS, NZALC, HPC, NZDF Psychology and ILD. Scope is Army, with NZDF-level interfaces identified rather than absorbed. Identify gaps, duplication and integration opportunities.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3.</w:t>
        <w:tab/>
      </w:r>
      <w:r>
        <w:rPr>
          <w:rFonts w:cs="Book Antiqua"/>
          <w:b/>
          <w:i w:val="false"/>
        </w:rPr>
        <w:t>Phase 2 — Framework development (September 2026).</w:t>
      </w:r>
    </w:p>
    <w:p>
      <w:pPr>
        <w:pStyle w:val="Normal"/>
        <w:spacing w:before="0" w:after="120"/>
        <w:ind w:left="425"/>
        <w:rPr/>
      </w:pPr>
      <w:r>
        <w:rPr>
          <w:rFonts w:cs="Book Antiqua"/>
          <w:b w:val="false"/>
          <w:i w:val="false"/>
        </w:rPr>
        <w:t>Draft the Army Combat Mindset Framework: definition, desired operational effect, integrated strands (leadership, mental skills, performance cognition, resilience and recovery, values and professional identity, physical performance), and the developmental pathway aligned Lead Self through Lead Systems.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4.</w:t>
        <w:tab/>
      </w:r>
      <w:r>
        <w:rPr>
          <w:rFonts w:cs="Book Antiqua"/>
          <w:b/>
          <w:i w:val="false"/>
        </w:rPr>
        <w:t>Phase 3 — Stakeholder forum (September 2026).</w:t>
      </w:r>
    </w:p>
    <w:p>
      <w:pPr>
        <w:pStyle w:val="Normal"/>
        <w:spacing w:before="0" w:after="120"/>
        <w:ind w:left="425"/>
        <w:rPr/>
      </w:pPr>
      <w:r>
        <w:rPr>
          <w:rFonts w:cs="Book Antiqua"/>
          <w:b w:val="false"/>
          <w:i w:val="false"/>
        </w:rPr>
        <w:t>Convene ACS, HPC, NZDF Psychology, ILD and selected force employers to refine the framework and implementation approach.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5.</w:t>
        <w:tab/>
      </w:r>
      <w:r>
        <w:rPr>
          <w:rFonts w:cs="Book Antiqua"/>
          <w:b/>
          <w:i w:val="false"/>
        </w:rPr>
        <w:t>Phase 4 — Pilot (October 2026).</w:t>
      </w:r>
    </w:p>
    <w:p>
      <w:pPr>
        <w:pStyle w:val="Normal"/>
        <w:spacing w:before="0" w:after="120"/>
        <w:ind w:left="425"/>
        <w:rPr/>
      </w:pPr>
      <w:r>
        <w:rPr>
          <w:rFonts w:cs="Book Antiqua"/>
          <w:b w:val="false"/>
          <w:i w:val="false"/>
        </w:rPr>
        <w:t>Apply the framework to selected existing NZALC or ACS activity before any new content is designed, to prove the framework in delivery and generate evidence for refinement.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6.</w:t>
        <w:tab/>
      </w:r>
      <w:r>
        <w:rPr>
          <w:rFonts w:cs="Book Antiqua"/>
          <w:b/>
          <w:i w:val="false"/>
        </w:rPr>
        <w:t>Phase 5 — Report back (November 2026).</w:t>
      </w:r>
    </w:p>
    <w:p>
      <w:pPr>
        <w:pStyle w:val="Normal"/>
        <w:spacing w:before="0" w:after="120"/>
        <w:ind w:left="425"/>
        <w:rPr/>
      </w:pPr>
      <w:r>
        <w:rPr>
          <w:rFonts w:cs="Book Antiqua"/>
          <w:b w:val="false"/>
          <w:i w:val="false"/>
        </w:rPr>
        <w:t>Present Framework v1.0, the validated capability map, and an implementation and assurance plan for endorsement.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This sequence creates coherence across existing initiatives while avoiding duplication of effort and investment, consistent with Reference B.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5. Governance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The following arrangements are proposed for confirmation at Phase 0: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Army Sponsor — strategic owner of the Combat Mindset capability at Army level (to be confirmed through COMDT ACS).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Sub-sponsor — COMDT ACS, driving and championing the capability on the sponsor's behalf.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Capability development and delivery agency — ACS, leveraging NZALC leadership-development expertise, intellectual property and programmes.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Technical authority — Human Performance Cell, ensuring the framework remains evidence-based and measurable, drawing on COGCON.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Supporting stakeholders — NZDF Psychology, ILD, training establishments and force employers.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Assurance — designed into the framework from the outset, with a degree of independence from the principal delivery organisation.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6. Recommendations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It is recommended that COMDT ACS: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1.</w:t>
        <w:tab/>
      </w:r>
      <w:r>
        <w:rPr>
          <w:rFonts w:cs="Book Antiqua"/>
          <w:b/>
          <w:i w:val="false"/>
        </w:rPr>
        <w:t>Endorse the agreed problem statement</w:t>
      </w:r>
      <w:r>
        <w:rPr>
          <w:rFonts w:cs="Book Antiqua"/>
          <w:b w:val="false"/>
          <w:i w:val="false"/>
        </w:rPr>
        <w:t xml:space="preserve"> at paragraph 1.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2.</w:t>
        <w:tab/>
      </w:r>
      <w:r>
        <w:rPr>
          <w:rFonts w:cs="Book Antiqua"/>
          <w:b/>
          <w:i w:val="false"/>
        </w:rPr>
        <w:t>Select the terminology construct</w:t>
      </w:r>
      <w:r>
        <w:rPr>
          <w:rFonts w:cs="Book Antiqua"/>
          <w:b w:val="false"/>
          <w:i w:val="false"/>
        </w:rPr>
        <w:t xml:space="preserve"> at paragraph 2 (Option 1 recommended).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3.</w:t>
        <w:tab/>
      </w:r>
      <w:r>
        <w:rPr>
          <w:rFonts w:cs="Book Antiqua"/>
          <w:b/>
          <w:i w:val="false"/>
        </w:rPr>
        <w:t>Confirm governance arrangements</w:t>
      </w:r>
      <w:r>
        <w:rPr>
          <w:rFonts w:cs="Book Antiqua"/>
          <w:b w:val="false"/>
          <w:i w:val="false"/>
        </w:rPr>
        <w:t xml:space="preserve"> at paragraph 5, including confirmation of the Army Sponsor.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4.</w:t>
        <w:tab/>
      </w:r>
      <w:r>
        <w:rPr>
          <w:rFonts w:cs="Book Antiqua"/>
          <w:b/>
          <w:i w:val="false"/>
        </w:rPr>
        <w:t>Approve the programme of work</w:t>
      </w:r>
      <w:r>
        <w:rPr>
          <w:rFonts w:cs="Book Antiqua"/>
          <w:b w:val="false"/>
          <w:i w:val="false"/>
        </w:rPr>
        <w:t xml:space="preserve"> at paragraph 4, including the joint mapping, stakeholder forum and pilot.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5.</w:t>
        <w:tab/>
      </w:r>
      <w:r>
        <w:rPr>
          <w:rFonts w:cs="Book Antiqua"/>
          <w:b/>
          <w:i w:val="false"/>
        </w:rPr>
        <w:t>Note</w:t>
      </w:r>
      <w:r>
        <w:rPr>
          <w:rFonts w:cs="Book Antiqua"/>
          <w:b w:val="false"/>
          <w:i w:val="false"/>
        </w:rPr>
        <w:t xml:space="preserve"> that NZALC and HPC will deliver this programme jointly, with the capability note at Reference C and the COGCON evidence base as its foundation inputs.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17" w:right="1417" w:gutter="0" w:header="624" w:top="1361" w:footer="624" w:bottom="136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Book Antiqu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535" w:leader="none"/>
        <w:tab w:val="right" w:pos="9071" w:leader="none"/>
      </w:tabs>
      <w:spacing w:before="40" w:after="0"/>
      <w:rPr/>
    </w:pPr>
    <w:r>
      <w:rPr>
        <w:rFonts w:cs="Arial" w:ascii="Arial" w:hAnsi="Arial"/>
        <w:b w:val="false"/>
        <w:color w:val="000000"/>
        <w:sz w:val="17"/>
      </w:rPr>
      <w:t>Combat Mindset — Proposed Way Forward</w:t>
      <w:tab/>
      <w:t>NZALC/HPC 2026</w:t>
      <w:tab/>
      <w:t xml:space="preserve">Page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PAGE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5</w:t>
    </w:r>
    <w:r>
      <w:rPr>
        <w:sz w:val="17"/>
        <w:rFonts w:cs="Arial" w:ascii="Arial" w:hAnsi="Arial"/>
      </w:rPr>
      <w:fldChar w:fldCharType="end"/>
    </w:r>
    <w:r>
      <w:rPr>
        <w:rFonts w:cs="Arial" w:ascii="Arial" w:hAnsi="Arial"/>
        <w:b w:val="false"/>
        <w:color w:val="000000"/>
        <w:sz w:val="17"/>
      </w:rPr>
      <w:t xml:space="preserve"> of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NUMPAGES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5</w:t>
    </w:r>
    <w:r>
      <w:rPr>
        <w:sz w:val="17"/>
        <w:rFonts w:cs="Arial" w:ascii="Arial" w:hAnsi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Book Antiqua" w:hAnsi="Book Antiqua" w:eastAsia="WenQuanYi Zen Hei" w:cs="Book Antiqu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20"/>
      <w:jc w:val="left"/>
    </w:pPr>
    <w:rPr>
      <w:rFonts w:ascii="Book Antiqua" w:hAnsi="Book Antiqua" w:cs="Book Antiqua" w:eastAsia="WenQuanYi Zen Hei"/>
      <w:color w:val="00000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360" w:after="160"/>
      <w:outlineLvl w:val="0"/>
    </w:pPr>
    <w:rPr>
      <w:rFonts w:ascii="Book Antiqua" w:hAnsi="Book Antiqua" w:cs="Book Antiqua"/>
      <w:b/>
      <w:color w:val="002516"/>
      <w:sz w:val="28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 w:val="true"/>
      <w:keepLines/>
      <w:spacing w:before="240" w:after="80"/>
      <w:outlineLvl w:val="1"/>
    </w:pPr>
    <w:rPr>
      <w:rFonts w:ascii="Book Antiqua" w:hAnsi="Book Antiqua" w:cs="Book Antiqua"/>
      <w:b/>
      <w:color w:val="000000"/>
      <w:sz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5</Pages>
  <Words>1142</Words>
  <Characters>6813</Characters>
  <CharactersWithSpaces>7905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Major M Coom, CI NZALC · ____, Human Performance Cell</dc:creator>
  <dc:description>generated by python-docx</dc:description>
  <dc:language>en-US</dc:language>
  <cp:lastModifiedBy/>
  <dcterms:modified xsi:type="dcterms:W3CDTF">2026-07-22T03:50:32Z</dcterms:modified>
  <cp:revision>2</cp:revision>
  <dc:subject>Joint NZALC and Human Performance Cell response to COMDT ACS</dc:subject>
  <dc:title>Combat Mindset — Proposed Way Forward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