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footer12.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footer11.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Framework Proposal</w:t>
      </w:r>
    </w:p>
    <w:p>
      <w:pPr>
        <w:pStyle w:val="Normal"/>
        <w:spacing w:before="160" w:after="40"/>
        <w:rPr/>
      </w:pPr>
      <w:r>
        <w:rPr>
          <w:rFonts w:cs="Arial" w:ascii="Arial" w:hAnsi="Arial"/>
          <w:color w:val="000000"/>
          <w:sz w:val="26"/>
        </w:rPr>
        <w:t>Remain effective. Act decisively.</w:t>
      </w:r>
    </w:p>
    <w:p>
      <w:pPr>
        <w:pStyle w:val="Normal"/>
        <w:spacing w:before="0" w:after="1680"/>
        <w:rPr/>
      </w:pPr>
      <w:r>
        <w:rPr>
          <w:rFonts w:cs="Arial" w:ascii="Arial" w:hAnsi="Arial"/>
          <w:b/>
          <w:color w:val="C62026"/>
          <w:sz w:val="26"/>
        </w:rPr>
        <w:t>Harder to kill.</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August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v1.0</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87_1870298719">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89_1870298719">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91_1870298719">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93_1870298719">
            <w:r>
              <w:rPr>
                <w:webHidden/>
                <w:rStyle w:val="IndexLink"/>
                <w:i w:val="false"/>
              </w:rPr>
              <w:t>2. Terminology and definitions</w:t>
            </w:r>
            <w:r>
              <w:rPr>
                <w:rStyle w:val="IndexLink"/>
              </w:rPr>
              <w:tab/>
              <w:t>4</w:t>
            </w:r>
          </w:hyperlink>
        </w:p>
        <w:p>
          <w:pPr>
            <w:pStyle w:val="TOC1"/>
            <w:tabs>
              <w:tab w:val="clear" w:pos="9072"/>
              <w:tab w:val="right" w:pos="9071" w:leader="dot"/>
            </w:tabs>
            <w:rPr/>
          </w:pPr>
          <w:hyperlink w:anchor="__RefHeading___Toc395_1870298719">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97_1870298719">
            <w:r>
              <w:rPr>
                <w:webHidden/>
                <w:rStyle w:val="IndexLink"/>
                <w:i w:val="false"/>
              </w:rPr>
              <w:t>4. Proposed programme of work</w:t>
            </w:r>
            <w:r>
              <w:rPr>
                <w:rStyle w:val="IndexLink"/>
              </w:rPr>
              <w:tab/>
              <w:t>7</w:t>
            </w:r>
          </w:hyperlink>
        </w:p>
        <w:p>
          <w:pPr>
            <w:pStyle w:val="TOC1"/>
            <w:tabs>
              <w:tab w:val="clear" w:pos="9072"/>
              <w:tab w:val="right" w:pos="9071" w:leader="dot"/>
            </w:tabs>
            <w:rPr/>
          </w:pPr>
          <w:hyperlink w:anchor="__RefHeading___Toc399_1870298719">
            <w:r>
              <w:rPr>
                <w:webHidden/>
                <w:rStyle w:val="IndexLink"/>
                <w:i w:val="false"/>
              </w:rPr>
              <w:t>5. Governance</w:t>
            </w:r>
            <w:r>
              <w:rPr>
                <w:rStyle w:val="IndexLink"/>
              </w:rPr>
              <w:tab/>
              <w:t>9</w:t>
            </w:r>
          </w:hyperlink>
        </w:p>
        <w:p>
          <w:pPr>
            <w:pStyle w:val="TOC1"/>
            <w:tabs>
              <w:tab w:val="clear" w:pos="9072"/>
              <w:tab w:val="right" w:pos="9071" w:leader="dot"/>
            </w:tabs>
            <w:rPr/>
          </w:pPr>
          <w:hyperlink w:anchor="__RefHeading___Toc401_1870298719">
            <w:r>
              <w:rPr>
                <w:webHidden/>
                <w:rStyle w:val="IndexLink"/>
                <w:i w:val="false"/>
              </w:rPr>
              <w:t>6. Recommendations</w:t>
            </w:r>
            <w:r>
              <w:rPr>
                <w:rStyle w:val="IndexLink"/>
              </w:rPr>
              <w:tab/>
              <w:t>9</w:t>
            </w:r>
          </w:hyperlink>
        </w:p>
        <w:p>
          <w:pPr>
            <w:pStyle w:val="TOC1"/>
            <w:tabs>
              <w:tab w:val="clear" w:pos="9072"/>
              <w:tab w:val="right" w:pos="9071" w:leader="dot"/>
            </w:tabs>
            <w:rPr/>
          </w:pPr>
          <w:hyperlink w:anchor="__RefHeading___Toc403_1870298719">
            <w:r>
              <w:rPr>
                <w:webHidden/>
                <w:rStyle w:val="IndexLink"/>
                <w:i w:val="false"/>
              </w:rPr>
              <w:t>Foundation documents</w:t>
            </w:r>
            <w:r>
              <w:rPr>
                <w:rStyle w:val="IndexLink"/>
              </w:rPr>
              <w:tab/>
              <w:t>11</w:t>
            </w:r>
          </w:hyperlink>
        </w:p>
        <w:p>
          <w:pPr>
            <w:pStyle w:val="TOC1"/>
            <w:tabs>
              <w:tab w:val="clear" w:pos="9072"/>
              <w:tab w:val="right" w:pos="9071" w:leader="dot"/>
            </w:tabs>
            <w:rPr/>
          </w:pPr>
          <w:hyperlink w:anchor="__RefHeading___Toc405_1870298719">
            <w:r>
              <w:rPr>
                <w:webHidden/>
                <w:rStyle w:val="IndexLink"/>
                <w:i w:val="false"/>
              </w:rPr>
              <w:t>Annex A: Interim governance and division of functions</w:t>
            </w:r>
            <w:r>
              <w:rPr>
                <w:rStyle w:val="IndexLink"/>
              </w:rPr>
              <w:tab/>
              <w:t>11</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387_1870298719"/>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1417" w:right="1417" w:gutter="0" w:header="624" w:top="1361" w:footer="624" w:bottom="1361"/>
          <w:pgNumType w:fmt="decimal"/>
          <w:formProt w:val="false"/>
          <w:textDirection w:val="lrTb"/>
          <w:docGrid w:type="default" w:linePitch="360" w:charSpace="0"/>
        </w:sectPr>
        <w:pStyle w:val="Normal"/>
        <w:jc w:val="left"/>
        <w:rPr/>
      </w:pPr>
      <w:r>
        <w:rPr/>
        <w:drawing>
          <wp:inline distT="0" distB="0" distL="0" distR="0">
            <wp:extent cx="5760085" cy="78600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5760085" cy="7860030"/>
                    </a:xfrm>
                    <a:prstGeom prst="rect">
                      <a:avLst/>
                    </a:prstGeom>
                  </pic:spPr>
                </pic:pic>
              </a:graphicData>
            </a:graphic>
          </wp:inline>
        </w:drawing>
      </w:r>
    </w:p>
    <w:p>
      <w:pPr>
        <w:pStyle w:val="Heading1"/>
        <w:pBdr>
          <w:left w:val="single" w:sz="24" w:space="8" w:color="C62026"/>
        </w:pBdr>
        <w:rPr/>
      </w:pPr>
      <w:bookmarkStart w:id="1" w:name="__RefHeading___Toc389_1870298719"/>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in conjunction with the Human Performance Cell (HPC), to develop a strategy to close the Combat Mindset policy and doctrine gap. It proposes a problem statement, initial working definitions and their relationship, the Combat Mindset Framework as the organising system, and a programme of work, for decision.</w:t>
      </w:r>
    </w:p>
    <w:p>
      <w:pPr>
        <w:pStyle w:val="Normal"/>
        <w:rPr/>
      </w:pPr>
      <w:r>
        <w:rPr>
          <w:rFonts w:cs="Book Antiqua"/>
          <w:b w:val="false"/>
          <w:i w:val="false"/>
        </w:rPr>
        <w:t>The programme of work is phased: Phase 1 defines terminology, governance, roles and responsibilities; Phase 2 assesses existing doctrine, products, delivery and governance; Phase 3 designs the framework, its delivery system and outcomes; Phase 4 validates the framework with key stakeholders and conducts bounded pilots; and Phase 5 delivers the framework for approval and implementation.</w:t>
      </w:r>
    </w:p>
    <w:p>
      <w:pPr>
        <w:pStyle w:val="Normal"/>
        <w:rPr/>
      </w:pPr>
      <w:r>
        <w:rPr>
          <w:rFonts w:cs="Book Antiqua"/>
          <w:b w:val="false"/>
          <w:i w:val="false"/>
        </w:rPr>
        <w:t>Final recommendations and an implementation back brief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91_1870298719"/>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What Army does not yet have is a coherent doctrine, governance and assurance model for Combat Mindset.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 Sufficient evidence and existing capability are available to commence this programme of work in order to achieve that end state.</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93_1870298719"/>
      <w:bookmarkEnd w:id="3"/>
      <w:r>
        <w:rPr>
          <w:rFonts w:cs="Arial" w:ascii="Arial" w:hAnsi="Arial"/>
          <w:b/>
          <w:i w:val="false"/>
          <w:color w:val="002516"/>
          <w:sz w:val="28"/>
        </w:rPr>
        <w:t>2. Terminology and definitions</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Combat Mindset as the combat-specific expression of Performance Under Pressure (recommended)</w:t>
      </w:r>
    </w:p>
    <w:p>
      <w:pPr>
        <w:pStyle w:val="Normal"/>
        <w:rPr/>
      </w:pPr>
      <w:r>
        <w:rPr>
          <w:rFonts w:cs="Book Antiqua"/>
          <w:b w:val="false"/>
          <w:i w:val="false"/>
        </w:rPr>
        <w:t>Combat Mindset is the individual and collective readiness and disposition Army seeks under the threat, adversity and uncertainty of combat. It is the combat-specific expression of Performance Under Pressure.</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Combat Mindset Framework is the organising system through which Army will govern, develop, deliver and assure this effect across provisional capability pillars, developmental outcomes, training products and governance arrangements.</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Combat Mindset Framework.</w:t>
      </w:r>
      <w:r>
        <w:rPr>
          <w:rFonts w:cs="Book Antiqua"/>
          <w:b w:val="false"/>
          <w:i/>
        </w:rPr>
        <w:t xml:space="preserve"> The framework through which Combat Mindset is governed, developed, delivered and assured.</w:t>
      </w:r>
    </w:p>
    <w:p>
      <w:pPr>
        <w:pStyle w:val="Normal"/>
        <w:rPr/>
      </w:pPr>
      <w:r>
        <w:rPr>
          <w:rFonts w:cs="Book Antiqua"/>
          <w:b w:val="false"/>
          <w:i w:val="false"/>
        </w:rPr>
        <w:t>A product, method or activity is combat-specific where it develops or applies Performance Under Pressure under conditions characteristic of combat: an opposed or threat-bearing context, consequence for mission and life, and ethical load. Products lacking these conditions contribute to the enabling capability rather than its combat-specific expression.</w:t>
      </w:r>
    </w:p>
    <w:p>
      <w:pPr>
        <w:pStyle w:val="Normal"/>
        <w:spacing w:before="120" w:after="160"/>
        <w:ind w:left="567" w:right="567"/>
        <w:rPr/>
      </w:pPr>
      <w:r>
        <w:rPr>
          <w:rFonts w:cs="Book Antiqua"/>
          <w:b w:val="false"/>
          <w:i/>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95_1870298719"/>
      <w:bookmarkEnd w:id="4"/>
      <w:r>
        <w:rPr>
          <w:rFonts w:cs="Arial" w:ascii="Arial" w:hAnsi="Arial"/>
          <w:b/>
          <w:i w:val="false"/>
          <w:color w:val="002516"/>
          <w:sz w:val="28"/>
        </w:rPr>
        <w:t>3. What already exists</w:t>
      </w:r>
    </w:p>
    <w:p>
      <w:pPr>
        <w:pStyle w:val="Heading2"/>
        <w:rPr/>
      </w:pPr>
      <w:r>
        <w:rPr>
          <w:rFonts w:cs="Arial" w:ascii="Arial" w:hAnsi="Arial"/>
          <w:b/>
          <w:i w:val="false"/>
          <w:color w:val="000000"/>
          <w:sz w:val="22"/>
        </w:rPr>
        <w:t>Within ACS</w:t>
      </w:r>
    </w:p>
    <w:p>
      <w:pPr>
        <w:pStyle w:val="Normal"/>
        <w:rPr/>
      </w:pPr>
      <w:r>
        <w:rPr>
          <w:rFonts w:cs="Arial" w:ascii="Arial" w:hAnsi="Arial"/>
          <w:b/>
          <w:i w:val="false"/>
          <w:color w:val="002516"/>
          <w:sz w:val="20"/>
        </w:rPr>
        <w:t>NZALC Leadership Development System</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Normal"/>
        <w:rPr/>
      </w:pPr>
      <w:r>
        <w:rPr>
          <w:rFonts w:cs="Arial" w:ascii="Arial" w:hAnsi="Arial"/>
          <w:b/>
          <w:i w:val="false"/>
          <w:color w:val="002516"/>
          <w:sz w:val="20"/>
        </w:rPr>
        <w:t>HPC Cognitive Conditioning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Arial" w:ascii="Arial" w:hAnsi="Arial"/>
          <w:b/>
          <w:i w:val="false"/>
          <w:color w:val="000000"/>
          <w:sz w:val="22"/>
        </w:rPr>
        <w:t>Outside ACS</w:t>
      </w:r>
    </w:p>
    <w:p>
      <w:pPr>
        <w:pStyle w:val="Normal"/>
        <w:rPr/>
      </w:pPr>
      <w:r>
        <w:rPr>
          <w:rFonts w:cs="Arial" w:ascii="Arial" w:hAnsi="Arial"/>
          <w:b/>
          <w:i w:val="false"/>
          <w:color w:val="002516"/>
          <w:sz w:val="20"/>
        </w:rPr>
        <w:t>Army Psychology Services,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2 assessment.</w:t>
      </w:r>
    </w:p>
    <w:p>
      <w:pPr>
        <w:pStyle w:val="Normal"/>
        <w:rPr/>
      </w:pPr>
      <w:r>
        <w:rPr>
          <w:rFonts w:cs="Book Antiqua"/>
          <w:b w:val="false"/>
          <w:i w:val="false"/>
        </w:rPr>
        <w:t>Initial review indicates considerable conceptual alignment across existing products. The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rPr/>
      </w:pPr>
      <w:r>
        <w:rPr>
          <w:rFonts w:cs="Book Antiqua"/>
          <w:b w:val="false"/>
          <w:i w:val="false"/>
        </w:rPr>
        <w:t>A full assessment of existing capability and products will be completed during Phase 2. The products described above contribute to the development of Performance Under Pressure and, where applied in a warfighting context, to Combat Mindset. They do not constitute the doctrinal definitions or the complete framework in isolation.</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97_1870298719"/>
      <w:bookmarkEnd w:id="5"/>
      <w:r>
        <w:rPr>
          <w:rFonts w:cs="Arial" w:ascii="Arial" w:hAnsi="Arial"/>
          <w:b/>
          <w:i w:val="false"/>
          <w:color w:val="002516"/>
          <w:sz w:val="28"/>
        </w:rPr>
        <w:t>4. Proposed programme of work</w:t>
      </w:r>
    </w:p>
    <w:p>
      <w:pPr>
        <w:pStyle w:val="Normal"/>
        <w:rPr/>
      </w:pPr>
      <w:r>
        <w:rPr>
          <w:rFonts w:cs="Book Antiqua"/>
          <w:b w:val="false"/>
          <w:i w:val="false"/>
        </w:rPr>
        <w:t>The programme will be conducted within existing ACS, NZALC and HPC baselines; no new resource is sought before the November 2026 report. Proposed phase leads are shown against each phase and are subject to confirmation.</w:t>
      </w:r>
    </w:p>
    <w:p>
      <w:pPr>
        <w:pStyle w:val="Heading2"/>
        <w:rPr/>
      </w:pPr>
      <w:r>
        <w:rPr>
          <w:rFonts w:cs="Arial" w:ascii="Arial" w:hAnsi="Arial"/>
          <w:b/>
          <w:i w:val="false"/>
          <w:color w:val="000000"/>
          <w:sz w:val="22"/>
        </w:rPr>
        <w:t>Phase 1: Define and govern (on endorsement of this paper; target mid-August 2026) (ACS) [proposed – confirm]</w:t>
      </w:r>
    </w:p>
    <w:p>
      <w:pPr>
        <w:pStyle w:val="Normal"/>
        <w:rPr/>
      </w:pPr>
      <w:r>
        <w:rPr>
          <w:rFonts w:cs="Book Antiqua"/>
          <w:b w:val="false"/>
          <w:i w:val="false"/>
        </w:rPr>
        <w:t>Confirm terminology, governance, roles and responsibilities: endorse the problem statement, select the terminology option at paragraph 2, confirm interim sponsorship and capability-integration arrangements, and draft for staffing the endorsed definitions of Combat Mindset, Performance Under Pressure and the Combat Mindset Framework, together with the agreed relationship between the three.</w:t>
      </w:r>
    </w:p>
    <w:p>
      <w:pPr>
        <w:pStyle w:val="Heading2"/>
        <w:rPr/>
      </w:pPr>
      <w:r>
        <w:rPr>
          <w:rFonts w:cs="Arial" w:ascii="Arial" w:hAnsi="Arial"/>
          <w:b/>
          <w:i w:val="false"/>
          <w:color w:val="000000"/>
          <w:sz w:val="22"/>
        </w:rPr>
        <w:t>Phase 2: Understand (August–September 2026) (NZALC lead, HPC support) [proposed – confirm]</w:t>
      </w:r>
    </w:p>
    <w:p>
      <w:pPr>
        <w:pStyle w:val="Normal"/>
        <w:rPr/>
      </w:pPr>
      <w:r>
        <w:rPr>
          <w:rFonts w:cs="Book Antiqua"/>
          <w:b w:val="false"/>
          <w:i w:val="false"/>
        </w:rPr>
        <w:t>Assess existing doctrine, content, products, courses, instructor capability, delivery activity, evidence, ownership and assurance arrangements across ACS, NZALC, HPC, NZDF Psychology, ILD, training establishments and selected units. The assessment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assessment will identify which products contribute to the broader Performance Under Pressure capability and which support its combat-specific expression, using the combat-specificity test at paragraph 2. COGCON will be assessed as one developmental product within this assessment, with particular attention to its product boundary, evidence base (including its completed feasibility trials in live military training), ownership, workforce requirements and scalability.</w:t>
      </w:r>
    </w:p>
    <w:p>
      <w:pPr>
        <w:pStyle w:val="Heading2"/>
        <w:rPr/>
      </w:pPr>
      <w:r>
        <w:rPr>
          <w:rFonts w:cs="Arial" w:ascii="Arial" w:hAnsi="Arial"/>
          <w:b/>
          <w:i w:val="false"/>
          <w:color w:val="000000"/>
          <w:sz w:val="22"/>
        </w:rPr>
        <w:t>Phase 3: Design (September–October 2026) (NZALC/HPC joint) [proposed – confirm]</w:t>
      </w:r>
    </w:p>
    <w:p>
      <w:pPr>
        <w:pStyle w:val="Normal"/>
        <w:rPr/>
      </w:pPr>
      <w:r>
        <w:rPr>
          <w:rFonts w:cs="Book Antiqua"/>
          <w:b w:val="false"/>
          <w:i w:val="false"/>
        </w:rPr>
        <w:t>Develop the Combat Mindset Framework, delivery system and outcomes: the organising system through which Army will govern, develop, deliver and assure Performance Under Pressure and its combat-specific expression. The framework will include the endorsed definitions and desired operational effect; the provisional capability pillars, refined through the assessment;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These are provisional working pillars, subject to validation through the Phase 2 assessment and Phase 4 validation. Each describes an enduring capability Army seeks to build. Training products and methods (including progressive exposure to pressure, scenario and experiential training, field and mission-relevant rehearsal, and physical and cognitive conditioning) are how Army builds them.</w:t>
      </w:r>
    </w:p>
    <w:p>
      <w:pPr>
        <w:pStyle w:val="Normal"/>
        <w:rPr/>
      </w:pPr>
      <w:r>
        <w:rPr>
          <w:rFonts w:cs="Book Antiqua"/>
          <w:b w:val="false"/>
          <w:i w:val="false"/>
        </w:rPr>
        <w:t>Existing products, including the NZALC Performance Under Pressure package and COGCON, will be mapped beneath the relevant provisional capability pillars rather than treated as the framework itself.</w:t>
      </w:r>
    </w:p>
    <w:p>
      <w:pPr>
        <w:pStyle w:val="Heading2"/>
        <w:rPr/>
      </w:pPr>
      <w:r>
        <w:rPr>
          <w:rFonts w:cs="Arial" w:ascii="Arial" w:hAnsi="Arial"/>
          <w:b/>
          <w:i w:val="false"/>
          <w:color w:val="000000"/>
          <w:sz w:val="22"/>
        </w:rPr>
        <w:t>Phase 4: Validate (October 2026) (ACS convenes) [proposed – confirm]</w:t>
      </w:r>
    </w:p>
    <w:p>
      <w:pPr>
        <w:pStyle w:val="Normal"/>
        <w:rPr/>
      </w:pPr>
      <w:r>
        <w:rPr>
          <w:rFonts w:cs="Book Antiqua"/>
          <w:b w:val="false"/>
          <w:i w:val="false"/>
        </w:rPr>
        <w:t>Refine the framework with key stakeholders and conduct bounded pilots: convene ACS, NZALC, HPC, NZDF Psychology, ILD, selected training providers and units to refine the framework, product architecture, governance model, implementation priorities, definition clarity and doctrinal coherence.</w:t>
      </w:r>
    </w:p>
    <w:p>
      <w:pPr>
        <w:pStyle w:val="Heading2"/>
        <w:rPr/>
      </w:pPr>
      <w:r>
        <w:rPr>
          <w:rFonts w:cs="Arial" w:ascii="Arial" w:hAnsi="Arial"/>
          <w:b/>
          <w:i w:val="false"/>
          <w:color w:val="000000"/>
          <w:sz w:val="22"/>
        </w:rPr>
        <w:t>Phase 5: Implement (November 2026) (ACS) [proposed – confirm]</w:t>
      </w:r>
    </w:p>
    <w:p>
      <w:pPr>
        <w:pStyle w:val="Normal"/>
        <w:rPr/>
      </w:pPr>
      <w:r>
        <w:rPr>
          <w:rFonts w:cs="Book Antiqua"/>
          <w:b w:val="false"/>
          <w:i w:val="false"/>
        </w:rPr>
        <w:t>Deliver the framework for approval and implementation: present the endorsed definitions and the confirmed relationship between Combat Mindset and Performance Under Pressure; Framework v1.0 and its agreed architecture; the validated capability and product architecture; the proposed governance and assurance model; an assessment of existing product maturity, evidence and scalability; and a prioritised implementation plan.</w:t>
      </w:r>
    </w:p>
    <w:p>
      <w:pPr>
        <w:pStyle w:val="Heading2"/>
        <w:rPr/>
      </w:pPr>
      <w:r>
        <w:rPr>
          <w:rFonts w:cs="Arial" w:ascii="Arial" w:hAnsi="Arial"/>
          <w:b/>
          <w:i w:val="false"/>
          <w:color w:val="000000"/>
          <w:sz w:val="22"/>
        </w:rPr>
        <w:t>Framework development principles</w:t>
      </w:r>
    </w:p>
    <w:p>
      <w:pPr>
        <w:pStyle w:val="Normal"/>
        <w:rPr/>
      </w:pPr>
      <w:r>
        <w:rPr>
          <w:rFonts w:cs="Book Antiqua"/>
          <w:b w:val="false"/>
          <w:i w:val="false"/>
        </w:rPr>
        <w:t>Framework development will be guided by the following principles: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and align existing capability before creating new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clear, common and Army-relevant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Distinguish capability outcomes from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Remain evidence-informed and proportionate to the maturity of each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Avoid capture by any single organisation, discipline or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existing training and leadership systems wherever practicable.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from Lead Self through Lead Systems.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Validate operational relevance with training establishments and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Design governance and assurance into the framework from the outset.</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399_1870298719"/>
      <w:bookmarkEnd w:id="6"/>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1.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strategic sponsor for Combat Mindset, the enabling Performance Under Pressure capability and the Combat Mindset Framework; to be confirmed at Phase 1, with candidate options identified by ACS.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Framework development and capability-integration lead: ACS, coordinating framework architecture, developmental progression, stakeholder integration, product recognition criteria and implementation planning,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401_1870298719"/>
      <w:bookmarkEnd w:id="7"/>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 at paragraph 1 and the recommended relationship between Combat Mindset and Performance Under Pressure at paragraph 2.</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Endorse</w:t>
      </w:r>
      <w:r>
        <w:rPr>
          <w:rFonts w:cs="Book Antiqua"/>
          <w:b w:val="false"/>
          <w:i w:val="false"/>
        </w:rPr>
        <w:t xml:space="preserve"> the proposed definitions of Combat Mindset, Performance Under Pressure and the Combat Mindset Framework as the baseline for wider staffing and refinement.</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Approve</w:t>
      </w:r>
      <w:r>
        <w:rPr>
          <w:rFonts w:cs="Book Antiqua"/>
          <w:b w:val="false"/>
          <w:i w:val="false"/>
        </w:rPr>
        <w:t xml:space="preserve"> development of the Combat Mindset Framework through the proposed capability and product assessment, framework design and validation activity, noting that the provisional capability pillars and the contribution, maturity, evidence, ownership and appropriate nesting of existing products (including the NZALC Performance Under Pressure package, COGCON and NZDF Psychology products) will be validated through this process.</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Confirm</w:t>
      </w:r>
      <w:r>
        <w:rPr>
          <w:rFonts w:cs="Book Antiqua"/>
          <w:b w:val="false"/>
          <w:i w:val="false"/>
        </w:rPr>
        <w:t xml:space="preserve"> the interim governance arrangements at paragraph 5, including COMDT ACS as interim capability integrator pending confirmation of the Army Sponsor, ACS as framework development and capability-integration lead, and technical and professional authority distributed by domain.</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Seek</w:t>
      </w:r>
      <w:r>
        <w:rPr>
          <w:rFonts w:cs="Book Antiqua"/>
          <w:b w:val="false"/>
          <w:i w:val="false"/>
        </w:rPr>
        <w:t xml:space="preserve"> confirmation of the Army Sponsor by 31 August 2026, with candidate options identified by ACS.</w:t>
      </w:r>
    </w:p>
    <w:p>
      <w:pPr>
        <w:pStyle w:val="Normal"/>
        <w:tabs>
          <w:tab w:val="clear" w:pos="720"/>
          <w:tab w:val="left" w:pos="425" w:leader="none"/>
        </w:tabs>
        <w:spacing w:before="80" w:after="40"/>
        <w:ind w:hanging="425" w:left="425"/>
        <w:rPr/>
      </w:pPr>
      <w:r>
        <w:rPr>
          <w:rFonts w:cs="Arial" w:ascii="Arial" w:hAnsi="Arial"/>
          <w:b w:val="false"/>
        </w:rPr>
        <w:t>6.</w:t>
        <w:tab/>
      </w:r>
      <w:r>
        <w:rPr>
          <w:rFonts w:cs="Book Antiqua"/>
          <w:b/>
          <w:i w:val="false"/>
        </w:rPr>
        <w:t>Decide</w:t>
      </w:r>
      <w:r>
        <w:rPr>
          <w:rFonts w:cs="Book Antiqua"/>
          <w:b w:val="false"/>
          <w:i w:val="false"/>
        </w:rPr>
        <w:t xml:space="preserve"> the status of Harder to Kill within the proposed Combat Mindset tagline (Remain effective. Act decisively. Harder to kill.), endorsing, deferring or rejecting its inclusion.</w:t>
      </w:r>
    </w:p>
    <w:p>
      <w:pPr>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pStyle w:val="Normal"/>
        <w:tabs>
          <w:tab w:val="clear" w:pos="720"/>
          <w:tab w:val="left" w:pos="425" w:leader="none"/>
        </w:tabs>
        <w:spacing w:before="80" w:after="40"/>
        <w:ind w:hanging="425" w:left="425"/>
        <w:rPr/>
      </w:pPr>
      <w:r>
        <w:rPr>
          <w:rFonts w:cs="Arial" w:ascii="Arial" w:hAnsi="Arial"/>
          <w:b w:val="false"/>
        </w:rPr>
        <w:t>7.</w:t>
        <w:tab/>
      </w:r>
      <w:r>
        <w:rPr>
          <w:rFonts w:cs="Book Antiqua"/>
          <w:b/>
          <w:i w:val="false"/>
        </w:rPr>
        <w:t>Direct</w:t>
      </w:r>
      <w:r>
        <w:rPr>
          <w:rFonts w:cs="Book Antiqua"/>
          <w:b w:val="false"/>
          <w:i w:val="false"/>
        </w:rPr>
        <w:t xml:space="preserve"> a report back in November 2026 containing the endorsed definitions; Framework v1.0; the validated capability and product architecture; proposed governance and assurance arrangements; an assessment of existing product maturity, evidence and scalability; and a prioritised implementation plan.</w:t>
      </w:r>
    </w:p>
    <w:p>
      <w:pPr>
        <w:pStyle w:val="Heading1"/>
        <w:pBdr>
          <w:left w:val="single" w:sz="24" w:space="8" w:color="C62026"/>
        </w:pBdr>
        <w:spacing w:before="0" w:after="160"/>
        <w:rPr/>
      </w:pPr>
      <w:bookmarkStart w:id="8" w:name="__RefHeading___Toc403_1870298719"/>
      <w:bookmarkEnd w:id="8"/>
      <w:r>
        <w:rPr>
          <w:rFonts w:cs="Arial" w:ascii="Arial" w:hAnsi="Arial"/>
          <w:b/>
          <w:i w:val="false"/>
          <w:color w:val="002516"/>
          <w:sz w:val="28"/>
        </w:rPr>
        <w:t>Foundation documents</w:t>
      </w:r>
    </w:p>
    <w:p>
      <w:pPr>
        <w:pStyle w:val="Normal"/>
        <w:rPr/>
      </w:pPr>
      <w:r>
        <w:rPr>
          <w:rFonts w:cs="Book Antiqua"/>
          <w:b w:val="false"/>
          <w:i w:val="false"/>
        </w:rPr>
        <w:t>This paper draws on the following documents: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COMDT ACS Combat Mindset guidance, 16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Under Pressure and Combat Mindset in the New Zealand Army (Draft Capability Note), NZALC,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 Cell Performance Cognition paper (COGCON).</w:t>
      </w:r>
    </w:p>
    <w:p>
      <w:pPr>
        <w:pStyle w:val="Normal"/>
        <w:rPr/>
      </w:pPr>
      <w:r>
        <w:rPr>
          <w:rFonts w:cs="Book Antiqua"/>
          <w:b w:val="false"/>
          <w:i w:val="false"/>
        </w:rPr>
        <w:t>Relevant NZDF Psychology, ILD and doctrinal holdings will be confirmed and referenced through the Phase 2 assessment.</w:t>
      </w:r>
    </w:p>
    <w:p>
      <w:pPr>
        <w:pStyle w:val="Heading1"/>
        <w:pBdr>
          <w:left w:val="single" w:sz="24" w:space="8" w:color="C62026"/>
        </w:pBdr>
        <w:rPr/>
      </w:pPr>
      <w:bookmarkStart w:id="9" w:name="__RefHeading___Toc405_1870298719"/>
      <w:bookmarkEnd w:id="9"/>
      <w:r>
        <w:rPr>
          <w:rFonts w:cs="Arial" w:ascii="Arial" w:hAnsi="Arial"/>
          <w:b/>
          <w:i w:val="false"/>
          <w:color w:val="002516"/>
          <w:sz w:val="28"/>
        </w:rPr>
        <w:t>Annex A: Interim governance and division of functions</w:t>
      </w:r>
    </w:p>
    <w:p>
      <w:pPr>
        <w:pStyle w:val="Normal"/>
        <w:rPr/>
      </w:pPr>
      <w:r>
        <w:rPr>
          <w:rFonts w:cs="Book Antiqua"/>
          <w:b w:val="false"/>
          <w:i w:val="false"/>
        </w:rPr>
        <w:t>The following division of functions is proposed for confirmation at Phase 1 and refinement through the Phase 2 assessment and Phase 4 validation.</w:t>
      </w:r>
    </w:p>
    <w:tbl>
      <w:tblPr>
        <w:tblW w:w="145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57"/>
        <w:gridCol w:w="4857"/>
        <w:gridCol w:w="4857"/>
      </w:tblGrid>
      <w:tr>
        <w:trPr>
          <w:tblHeader w:val="true"/>
          <w:cantSplit w:val="true"/>
        </w:trPr>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Function</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Lead</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Output</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Define and govern</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Army Sponsor / 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Endorsed doctrine, definitions, policy direction and capability outcomes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Integrate capability and develop the framework</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Framework architecture, product recognition criteria, stakeholder coordination and implementation priorities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Develop products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product owner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design, protocols, instructor materials and updates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Provide domain advice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technical or professional adviser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Specialist advice within leadership, psychology, cognition, learning design, physical performance and other domains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Approved training establishments, units and existing instructor workforces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Routine delivery of recognised products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Measure training performance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Delivery organisation, using approved methods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Proportionate training feedback and product-level performance data</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Evaluate product effectiveness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owner, with independent evaluation or research support</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Evidence of feasibility, effectiveness, transfer and scalability</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Assure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Layered governance and domain authorities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Doctrine, evidence, professional, learning, delivery and operational assurance</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Review and recover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leadership and training systems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Reflection, feedback, recovery and developmental planning</w:t>
            </w:r>
          </w:p>
        </w:tc>
      </w:tr>
    </w:tbl>
    <w:sectPr>
      <w:headerReference w:type="default" r:id="rId20"/>
      <w:headerReference w:type="first" r:id="rId21"/>
      <w:footerReference w:type="even" r:id="rId22"/>
      <w:footerReference w:type="default" r:id="rId23"/>
      <w:footerReference w:type="first" r:id="rId24"/>
      <w:type w:val="nextPage"/>
      <w:pgSz w:orient="landscape" w:w="16838" w:h="11906"/>
      <w:pgMar w:left="1134" w:right="1134" w:gutter="0" w:header="624" w:top="850" w:footer="624"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7285" w:leader="none"/>
        <w:tab w:val="right" w:pos="14570"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2532</Words>
  <Characters>16454</Characters>
  <CharactersWithSpaces>18819</CharactersWithSpaces>
  <Paragraphs>170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2026-08-05T02:44:20Z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