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Joint NZALC and Human Performance Cell response to COMDT ACS</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NZALC/HPC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CI NZALC · Jacques Rousseau, Human Performance Cell</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v0.4</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NZALC and the Human Performance Cell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1. The problem</w:t>
      </w:r>
    </w:p>
    <w:p>
      <w:pPr>
        <w:pStyle w:val="Normal"/>
        <w:rPr/>
      </w:pPr>
      <w:r>
        <w:rPr>
          <w:rFonts w:cs="Book Antiqua"/>
          <w:b w:val="false"/>
          <w:i w:val="false"/>
        </w:rPr>
        <w:t>Army does not currently have an endorsed, Army-wide definition, doctrine, governance or assurance model for Combat Mindset, despite the term being in active use and despite Army's drive toward an increased Warfighter Focus. The COMDT ACS guidance and the NZALC capability note reach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force employers.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 as stated in the NZALC capability note:</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must deliberately develop, and to describe its combat-specific expression.</w:t>
      </w:r>
    </w:p>
    <w:p>
      <w:pPr>
        <w:pStyle w:val="Normal"/>
        <w:rPr/>
      </w:pPr>
      <w:r>
        <w:rPr>
          <w:rFonts w:cs="Book Antiqua"/>
          <w:b w:val="false"/>
          <w:i w:val="false"/>
        </w:rPr>
        <w:t>Sufficient evidence and existing capability are available to commence governance, mapping and framework development immediately. The present gap is principally institutional and integrative.</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2. Terminology and definitions — decision sought</w:t>
      </w:r>
    </w:p>
    <w:p>
      <w:pPr>
        <w:pStyle w:val="Normal"/>
        <w:rPr/>
      </w:pPr>
      <w:r>
        <w:rPr>
          <w:rFonts w:cs="Book Antiqua"/>
          <w:b w:val="false"/>
          <w:i w:val="false"/>
        </w:rPr>
        <w:t>The COMDT ACS guidance and the NZALC capability note differ on one structural point: the relationship between Combat Mindset and Performance Under Pressure. This is the single decision required before the framework can be drafted.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communication 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3. What already exists</w:t>
      </w:r>
    </w:p>
    <w:p>
      <w:pPr>
        <w:pStyle w:val="Normal"/>
        <w:rPr/>
      </w:pPr>
      <w:r>
        <w:rPr>
          <w:rFonts w:cs="Book Antiqua"/>
          <w:b w:val="false"/>
          <w:i w:val="false"/>
        </w:rPr>
        <w:t>A full capability and product map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Phase 1 mapping.</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4. COGCON minimum viable product</w:t>
      </w:r>
    </w:p>
    <w:p>
      <w:pPr>
        <w:pStyle w:val="Normal"/>
        <w:rPr/>
      </w:pPr>
      <w:r>
        <w:rPr>
          <w:rFonts w:cs="Book Antiqua"/>
          <w:b w:val="false"/>
          <w:i w:val="false"/>
        </w:rPr>
        <w:t>For the purposes of the Combat Mindset programme of work, COGCON will initially be treated as a developmental minimum viable product within the performance-cognition pillar of the Army Combat Mindset Framework, contributing to selected elements of Performance Under Pressure.</w:t>
      </w:r>
    </w:p>
    <w:p>
      <w:pPr>
        <w:pStyle w:val="Normal"/>
        <w:rPr/>
      </w:pPr>
      <w:r>
        <w:rPr>
          <w:rFonts w:cs="Book Antiqua"/>
          <w:b w:val="false"/>
          <w:i w:val="false"/>
        </w:rPr>
        <w:t>The COGCON MVP comprises: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adaptive dual-task activity embedded within existing physical or military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tablet-delivered attention and inhibition task;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concurrent prerecorded operational information task, such as an audio brief;</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immediate recall questions or objective job-task scoring;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controlled difficulty levels and defined progression criteria;</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selected arousal-regulation techniques;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basic performance feedback and longitudinal training records;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train-the-trainer and assurance package allowing delivery by existing training staff.</w:t>
      </w:r>
    </w:p>
    <w:p>
      <w:pPr>
        <w:pStyle w:val="Normal"/>
        <w:rPr/>
      </w:pPr>
      <w:r>
        <w:rPr>
          <w:rFonts w:cs="Book Antiqua"/>
          <w:b w:val="false"/>
          <w:i w:val="false"/>
        </w:rPr>
        <w:t>The MVP does not constitute: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standalone Army course;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complete Combat Mindset or Performance Under Pressure programme;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selection, promotion or diagnostic tool;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validated measure of operational readiness; 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commitment for HPC personnel to deliver the product across Army.</w:t>
      </w:r>
    </w:p>
    <w:p>
      <w:pPr>
        <w:pStyle w:val="Normal"/>
        <w:rPr/>
      </w:pPr>
      <w:r>
        <w:rPr>
          <w:rFonts w:cs="Book Antiqua"/>
          <w:b w:val="false"/>
          <w:i w:val="false"/>
        </w:rPr>
        <w:t>HPC will retain technical stewardship of the COGCON method and provide specialist advice, product development, train-the-trainer support and proportionate assurance within available capacity. Routine delivery, if subsequently approved, will be undertaken through existing training establishments, instructors and physical-training staff.</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5. Proposed programme of work</w:t>
      </w:r>
    </w:p>
    <w:p>
      <w:pPr>
        <w:pStyle w:val="Heading2"/>
        <w:rPr/>
      </w:pPr>
      <w:r>
        <w:rPr>
          <w:rFonts w:cs="Arial" w:ascii="Arial" w:hAnsi="Arial"/>
          <w:b/>
          <w:i w:val="false"/>
          <w:color w:val="000000"/>
          <w:sz w:val="22"/>
        </w:rPr>
        <w:t>Phase 0 —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 Capability and product mapping (August 2026)</w:t>
      </w:r>
    </w:p>
    <w:p>
      <w:pPr>
        <w:pStyle w:val="Normal"/>
        <w:rPr/>
      </w:pPr>
      <w:r>
        <w:rPr>
          <w:rFonts w:cs="Book Antiqua"/>
          <w:b w:val="false"/>
          <w:i w:val="false"/>
        </w:rPr>
        <w:t>Map existing doctrine, content, products, courses, instructor capability, delivery activity, evidence, ownership and assurance arrangements across ACS, NZALC, HPC, NZDF Psychology, ILD, training establishments and selected force employers. The mapping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mapping will identify which products contribute to the broader Performance Under Pressure capability and which support its combat-specific expression. COGCON will be assessed as one developmental product within this map, with particular attention to its MVP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pillars;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the COGCON MVP, will be mapped beneath the relevant capability pillars rather than treated as the framework itself.</w:t>
      </w:r>
    </w:p>
    <w:p>
      <w:pPr>
        <w:pStyle w:val="Heading2"/>
        <w:rPr/>
      </w:pPr>
      <w:r>
        <w:rPr>
          <w:rFonts w:cs="Arial" w:ascii="Arial" w:hAnsi="Arial"/>
          <w:b/>
          <w:i w:val="false"/>
          <w:color w:val="000000"/>
          <w:sz w:val="22"/>
        </w:rPr>
        <w:t>Phase 3 — Stakeholder forum (September 2026)</w:t>
      </w:r>
    </w:p>
    <w:p>
      <w:pPr>
        <w:pStyle w:val="Normal"/>
        <w:rPr/>
      </w:pPr>
      <w:r>
        <w:rPr>
          <w:rFonts w:cs="Book Antiqua"/>
          <w:b w:val="false"/>
          <w:i w:val="false"/>
        </w:rPr>
        <w:t>Convene ACS, NZALC, HPC, NZDF Psychology, ILD, selected training providers and force employers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6.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7.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Endorse the problem statement</w:t>
      </w:r>
      <w:r>
        <w:rPr>
          <w:rFonts w:cs="Book Antiqua"/>
          <w:b w:val="false"/>
          <w:i w:val="false"/>
        </w:rPr>
        <w:t xml:space="preserve"> at paragraph 1.</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Endorse Combat Mindset as the combat-specific expression of Performance Under Pressure</w:t>
      </w:r>
      <w:r>
        <w:rPr>
          <w:rFonts w:cs="Book Antiqua"/>
          <w:b w:val="false"/>
          <w:i w:val="false"/>
        </w:rPr>
        <w:t>,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Endorse the formal definitions</w:t>
      </w:r>
      <w:r>
        <w:rPr>
          <w:rFonts w:cs="Book Antiqua"/>
          <w:b w:val="false"/>
          <w:i w:val="false"/>
        </w:rPr>
        <w:t xml:space="preserve">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Endorse the Army Combat Mindset Framework</w:t>
      </w:r>
      <w:r>
        <w:rPr>
          <w:rFonts w:cs="Book Antiqua"/>
          <w:b w:val="false"/>
          <w:i w:val="false"/>
        </w:rPr>
        <w:t xml:space="preserve">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Note that existing programmes and products will be mapped beneath the framework's capability pillars</w:t>
      </w:r>
      <w:r>
        <w:rPr>
          <w:rFonts w:cs="Book Antiqua"/>
          <w:b w:val="false"/>
          <w:i w:val="false"/>
        </w:rPr>
        <w:t xml:space="preserve">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Endorse COGCON's interim status as a developmental MVP</w:t>
      </w:r>
      <w:r>
        <w:rPr>
          <w:rFonts w:cs="Book Antiqua"/>
          <w:b w:val="false"/>
          <w:i w:val="false"/>
        </w:rPr>
        <w:t xml:space="preserve"> within the performance-cognition pillar.</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Confirm the governance model</w:t>
      </w:r>
      <w:r>
        <w:rPr>
          <w:rFonts w:cs="Book Antiqua"/>
          <w:b w:val="false"/>
          <w:i w:val="false"/>
        </w:rPr>
        <w:t xml:space="preserve"> at paragraph 6,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rPr>
        <w:t>8.</w:t>
        <w:tab/>
      </w:r>
      <w:r>
        <w:rPr>
          <w:rFonts w:cs="Book Antiqua"/>
          <w:b/>
          <w:i w:val="false"/>
        </w:rPr>
        <w:t>Approve the programme of work</w:t>
      </w:r>
      <w:r>
        <w:rPr>
          <w:rFonts w:cs="Book Antiqua"/>
          <w:b w:val="false"/>
          <w:i w:val="false"/>
        </w:rPr>
        <w:t xml:space="preserve"> at paragraph 5, including capability and product mapping, framework development and stakeholder engagement.</w:t>
      </w:r>
    </w:p>
    <w:p>
      <w:pPr>
        <w:pStyle w:val="Normal"/>
        <w:keepNext w:val="true"/>
        <w:tabs>
          <w:tab w:val="clear" w:pos="720"/>
          <w:tab w:val="left" w:pos="425" w:leader="none"/>
        </w:tabs>
        <w:spacing w:before="80" w:after="40"/>
        <w:ind w:hanging="425" w:left="425"/>
        <w:rPr/>
      </w:pPr>
      <w:r>
        <w:rPr>
          <w:rFonts w:cs="Arial" w:ascii="Arial" w:hAnsi="Arial"/>
          <w:b/>
        </w:rPr>
        <w:t>9.</w:t>
        <w:tab/>
      </w:r>
      <w:r>
        <w:rPr>
          <w:rFonts w:cs="Book Antiqua"/>
          <w:b/>
          <w:i w:val="false"/>
        </w:rPr>
        <w:t>Direct that the November 2026 report provide</w:t>
      </w:r>
      <w:r>
        <w:rPr>
          <w:rFonts w:cs="Book Antiqua"/>
          <w:b w:val="false"/>
          <w:i w:val="false"/>
        </w:rPr>
        <w:t xml:space="preserv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MVP; NZDF Psychology products; scenario and experiential training; physical conditioning; structured reflection and recovery; other products identified during Phase 1 mapping</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pillars, products and methods</w:t>
      </w:r>
    </w:p>
    <w:p>
      <w:pPr>
        <w:pStyle w:val="Heading2"/>
        <w:rPr/>
      </w:pPr>
      <w:r>
        <w:rPr>
          <w:rFonts w:cs="Arial" w:ascii="Arial" w:hAnsi="Arial"/>
          <w:b/>
          <w:i w:val="false"/>
          <w:color w:val="000000"/>
          <w:sz w:val="22"/>
        </w:rPr>
        <w:t>A2. COGCON current nesting</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Attribute</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COGCON current 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cognition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Primary level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 / Lead Self</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Secondary applicability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Selected Lead Teams activity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status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Developmental MVP</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Relationship to Combat Mindset</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Develops selected elements of Performance Under Pressure that may contribute to Combat Mindset when integrated within broader warfighting, leadership, values, physical and collective development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contribution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Arousal regulation, attention, cognitive control, working memory, performance monitoring and adaptive dual-task conditioning</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evidence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Feasibility, acceptability and promising training trends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Not yet established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Causal effectiveness, far transfer, operational-readiness validity and Army-wide scalability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steward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Human Performance Cell</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Likely delivery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Existing instructors or physical-training staff following standardisation and train-the-trainer preparation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Assurance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 for COGCON product integrity; broader framework assurance through the agreed governance system</w:t>
            </w:r>
          </w:p>
        </w:tc>
      </w:tr>
    </w:tbl>
    <w:p>
      <w:pPr>
        <w:pStyle w:val="Normal"/>
        <w:spacing w:before="0" w:after="160"/>
        <w:rPr/>
      </w:pPr>
      <w:r>
        <w:rPr/>
      </w:r>
    </w:p>
    <w:p>
      <w:pPr>
        <w:pStyle w:val="Heading2"/>
        <w:rPr/>
      </w:pPr>
      <w:r>
        <w:rPr>
          <w:rFonts w:cs="Arial" w:ascii="Arial" w:hAnsi="Arial"/>
          <w:b/>
          <w:i w:val="false"/>
          <w:color w:val="000000"/>
          <w:sz w:val="22"/>
        </w:rPr>
        <w:t>A3.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p>
      <w:pPr>
        <w:pStyle w:val="Heading2"/>
        <w:rPr/>
      </w:pPr>
      <w:r>
        <w:rPr>
          <w:rFonts w:cs="Arial" w:ascii="Arial" w:hAnsi="Arial"/>
          <w:b/>
          <w:i w:val="false"/>
          <w:color w:val="000000"/>
          <w:sz w:val="22"/>
        </w:rPr>
        <w:t>A4. Shared developmental models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 provides a common developmental and delivery rhythm across recognised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 Self to Lead Systems provides the developmental progression from individual capability to collective, leadership and systems application: individual conditioning is likely to be densest in initial and individual training, while leadership, team and systems application deepens across the leadership continuum.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currently contributes principally to selected Prepare and Perform activities within the performance-cognition pillar. NZALC and other leadership-development products provide broader preparation, application, structured review and recovery.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NZALC/HPC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2637</Words>
  <Characters>17582</Characters>
  <CharactersWithSpaces>20046</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CI NZALC · Jacques Rousseau, Human Performance Cell</dc:creator>
  <dc:description>generated by python-docx</dc:description>
  <dc:language>en-US</dc:language>
  <cp:lastModifiedBy/>
  <dcterms:modified xsi:type="dcterms:W3CDTF">2026-07-22T23:12:36Z</dcterms:modified>
  <cp:revision>2</cp:revision>
  <dc:subject>Joint NZALC and Human Performance Cell response to COMDT ACS</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