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0"/>
        <w:rPr/>
      </w:pPr>
      <w:r>
        <w:rPr>
          <w:rFonts w:cs="Arial"/>
          <w:b/>
          <w:i w:val="false"/>
          <w:color w:val="002516"/>
          <w:spacing w:val="40"/>
          <w:sz w:val="20"/>
        </w:rPr>
        <w:t>MEETING RECORD</w:t>
      </w:r>
    </w:p>
    <w:p>
      <w:pPr>
        <w:pStyle w:val="Normal"/>
        <w:keepNext w:val="true"/>
        <w:pageBreakBefore w:val="false"/>
        <w:spacing w:before="0" w:after="80"/>
        <w:rPr/>
      </w:pPr>
      <w:r>
        <w:rPr>
          <w:rFonts w:cs="Arial"/>
          <w:b/>
          <w:color w:val="000000"/>
          <w:sz w:val="48"/>
        </w:rPr>
        <w:t>Priorities and Actions</w:t>
      </w:r>
    </w:p>
    <w:p>
      <w:pPr>
        <w:pStyle w:val="Normal"/>
        <w:keepNext w:val="true"/>
        <w:pBdr>
          <w:bottom w:val="single" w:sz="18" w:space="8" w:color="C62026"/>
        </w:pBdr>
        <w:spacing w:before="0" w:after="120"/>
        <w:rPr/>
      </w:pPr>
      <w:r>
        <w:rPr>
          <w:rFonts w:cs="Arial"/>
          <w:b/>
          <w:i w:val="false"/>
          <w:color w:val="002516"/>
          <w:spacing w:val="30"/>
          <w:sz w:val="19"/>
        </w:rPr>
        <w:t>NZALC COMMAND AND STAFF MEETING</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Meeting notes, September 2026</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p>
    <w:p>
      <w:pPr>
        <w:pStyle w:val="Normal"/>
        <w:spacing w:before="0" w:after="200"/>
        <w:rPr/>
      </w:pPr>
      <w:r>
        <w:rPr/>
      </w:r>
    </w:p>
    <w:p>
      <w:pPr>
        <w:pStyle w:val="Heading1"/>
        <w:rPr/>
      </w:pPr>
      <w:r>
        <w:rPr>
          <w:rFonts w:cs="Arial"/>
          <w:b/>
          <w:i w:val="false"/>
          <w:color w:val="002516"/>
          <w:sz w:val="25"/>
        </w:rPr>
        <w:t>Five Priorities</w:t>
      </w:r>
    </w:p>
    <w:p>
      <w:pPr>
        <w:pStyle w:val="Normal"/>
        <w:tabs>
          <w:tab w:val="clear" w:pos="720"/>
          <w:tab w:val="left" w:pos="397" w:leader="none"/>
        </w:tabs>
        <w:spacing w:before="60" w:after="40"/>
        <w:ind w:hanging="397" w:left="397"/>
        <w:rPr/>
      </w:pPr>
      <w:r>
        <w:rPr>
          <w:rFonts w:cs="Arial"/>
          <w:color w:val="000000"/>
        </w:rPr>
        <w:t>1.</w:t>
        <w:tab/>
      </w:r>
      <w:r>
        <w:rPr>
          <w:rFonts w:cs="Arial"/>
          <w:b/>
          <w:i w:val="false"/>
        </w:rPr>
        <w:t>Course delivery is in a strong position.</w:t>
      </w:r>
      <w:r>
        <w:rPr>
          <w:rFonts w:cs="Arial"/>
          <w:b w:val="false"/>
          <w:i w:val="false"/>
        </w:rPr>
        <w:t xml:space="preserve"> Lead Teams and ELDA delivery is producing good outcomes and the updated packages, tools and workbooks are aligned. The key vulnerability is now instructor engagement and consistency, particularly ensuring instructors actually use the updated material as designed.</w:t>
      </w:r>
    </w:p>
    <w:p>
      <w:pPr>
        <w:pStyle w:val="Normal"/>
        <w:tabs>
          <w:tab w:val="clear" w:pos="720"/>
          <w:tab w:val="left" w:pos="397" w:leader="none"/>
        </w:tabs>
        <w:spacing w:before="60" w:after="40"/>
        <w:ind w:hanging="397" w:left="397"/>
        <w:rPr/>
      </w:pPr>
      <w:r>
        <w:rPr>
          <w:rFonts w:cs="Arial"/>
          <w:color w:val="000000"/>
        </w:rPr>
        <w:t>2.</w:t>
        <w:tab/>
      </w:r>
      <w:r>
        <w:rPr>
          <w:rFonts w:cs="Arial"/>
          <w:b/>
          <w:i w:val="false"/>
        </w:rPr>
        <w:t>Contractor onboarding needs immediate tightening.</w:t>
      </w:r>
      <w:r>
        <w:rPr>
          <w:rFonts w:cs="Arial"/>
          <w:b w:val="false"/>
          <w:i w:val="false"/>
        </w:rPr>
        <w:t xml:space="preserve"> The recent contractor experience exposed gaps in induction, safety briefing, role suitability and due diligence. The individual should not be re-engaged, but the larger lesson is to establish a clear, repeatable staff and contractor onboarding SOP rather than treating this as an isolated personnel issue.</w:t>
      </w:r>
    </w:p>
    <w:p>
      <w:pPr>
        <w:pStyle w:val="Normal"/>
        <w:tabs>
          <w:tab w:val="clear" w:pos="720"/>
          <w:tab w:val="left" w:pos="397" w:leader="none"/>
        </w:tabs>
        <w:spacing w:before="60" w:after="40"/>
        <w:ind w:hanging="397" w:left="397"/>
        <w:rPr/>
      </w:pPr>
      <w:r>
        <w:rPr>
          <w:rFonts w:cs="Arial"/>
          <w:color w:val="000000"/>
        </w:rPr>
        <w:t>3.</w:t>
        <w:tab/>
      </w:r>
      <w:r>
        <w:rPr>
          <w:rFonts w:cs="Arial"/>
          <w:b/>
          <w:i w:val="false"/>
        </w:rPr>
        <w:t>Nemesis needs a deliberate curriculum decision.</w:t>
      </w:r>
      <w:r>
        <w:rPr>
          <w:rFonts w:cs="Arial"/>
          <w:b w:val="false"/>
          <w:i w:val="false"/>
        </w:rPr>
        <w:t xml:space="preserve"> It currently appears closer to a challenging rite-of-passage experience than a genuine equivalent of Lead Teams. The missing elements are particularly the structured cognitive preparation, coaching and reflection, and recovery phases. This needs to be resolved with OCS and Army leadership: either clarify Nemesis's distinct purpose or redesign it to achieve the intended Lead Teams outcomes.</w:t>
      </w:r>
    </w:p>
    <w:p>
      <w:pPr>
        <w:pStyle w:val="Normal"/>
        <w:tabs>
          <w:tab w:val="clear" w:pos="720"/>
          <w:tab w:val="left" w:pos="397" w:leader="none"/>
        </w:tabs>
        <w:spacing w:before="60" w:after="40"/>
        <w:ind w:hanging="397" w:left="397"/>
        <w:rPr/>
      </w:pPr>
      <w:r>
        <w:rPr>
          <w:rFonts w:cs="Arial"/>
          <w:color w:val="000000"/>
        </w:rPr>
        <w:t>4.</w:t>
        <w:tab/>
      </w:r>
      <w:r>
        <w:rPr>
          <w:rFonts w:cs="Arial"/>
          <w:b/>
          <w:i w:val="false"/>
        </w:rPr>
        <w:t>Administration and assurance need continued focus.</w:t>
      </w:r>
      <w:r>
        <w:rPr>
          <w:rFonts w:cs="Arial"/>
          <w:b w:val="false"/>
          <w:i w:val="false"/>
        </w:rPr>
        <w:t xml:space="preserve"> H&amp;S audit actions, visitor management, signage, security training, POs and invoices and contractor administration are progressing but require active tracking. Jim's field strengths are recognised; the answer is to provide more deliberate administrative support and prioritisation around him rather than allowing critical tasks to drift.</w:t>
      </w:r>
    </w:p>
    <w:p>
      <w:pPr>
        <w:pStyle w:val="Normal"/>
        <w:tabs>
          <w:tab w:val="clear" w:pos="720"/>
          <w:tab w:val="left" w:pos="397" w:leader="none"/>
        </w:tabs>
        <w:spacing w:before="60" w:after="40"/>
        <w:ind w:hanging="397" w:left="397"/>
        <w:rPr/>
      </w:pPr>
      <w:r>
        <w:rPr>
          <w:rFonts w:cs="Arial"/>
          <w:color w:val="000000"/>
        </w:rPr>
        <w:t>5.</w:t>
        <w:tab/>
      </w:r>
      <w:r>
        <w:rPr>
          <w:rFonts w:cs="Arial"/>
          <w:b/>
          <w:i w:val="false"/>
        </w:rPr>
        <w:t>The unit is otherwise in a good operational position.</w:t>
      </w:r>
      <w:r>
        <w:rPr>
          <w:rFonts w:cs="Arial"/>
          <w:b w:val="false"/>
          <w:i w:val="false"/>
        </w:rPr>
        <w:t xml:space="preserve"> Courses, November activities, leave, end-of-year events and leadership-development work are broadly on track. The recent push to close outstanding work appears to have materially improved the unit's position.</w:t>
      </w:r>
      <w:r>
        <w:br w:type="page"/>
      </w:r>
    </w:p>
    <w:p>
      <w:pPr>
        <w:pStyle w:val="Heading1"/>
        <w:rPr/>
      </w:pPr>
      <w:r>
        <w:rPr>
          <w:rFonts w:cs="Arial"/>
          <w:b/>
          <w:i w:val="false"/>
          <w:color w:val="002516"/>
          <w:sz w:val="25"/>
        </w:rPr>
        <w:t>Consolidated Action List</w:t>
      </w:r>
    </w:p>
    <w:p>
      <w:pPr>
        <w:pStyle w:val="Normal"/>
        <w:rPr/>
      </w:pPr>
      <w:r>
        <w:rPr>
          <w:rFonts w:cs="Arial"/>
          <w:b w:val="false"/>
          <w:i w:val="false"/>
        </w:rPr>
        <w:t>Actions for Mike. High-priority actions are shaded.</w:t>
      </w:r>
    </w:p>
    <w:tbl>
      <w:tblPr>
        <w:tblW w:w="9297" w:type="dxa"/>
        <w:jc w:val="left"/>
        <w:tblInd w:w="-8" w:type="dxa"/>
        <w:tblLayout w:type="fixed"/>
        <w:tblCellMar>
          <w:top w:w="55" w:type="dxa"/>
          <w:left w:w="100" w:type="dxa"/>
          <w:bottom w:w="55" w:type="dxa"/>
          <w:right w:w="100" w:type="dxa"/>
        </w:tblCellMar>
        <w:tblLook w:val="04a0" w:noHBand="0" w:noVBand="1" w:firstColumn="1" w:lastRow="0" w:lastColumn="0" w:firstRow="1"/>
      </w:tblPr>
      <w:tblGrid>
        <w:gridCol w:w="1019"/>
        <w:gridCol w:w="5217"/>
        <w:gridCol w:w="1644"/>
        <w:gridCol w:w="1416"/>
      </w:tblGrid>
      <w:tr>
        <w:trPr>
          <w:cantSplit w:val="true"/>
        </w:trPr>
        <w:tc>
          <w:tcPr>
            <w:tcW w:w="1019"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4" w:before="0" w:after="0"/>
              <w:rPr/>
            </w:pPr>
            <w:r>
              <w:rPr>
                <w:rFonts w:cs="Arial"/>
                <w:b/>
                <w:i w:val="false"/>
                <w:color w:val="FFFFFF"/>
                <w:sz w:val="18"/>
              </w:rPr>
              <w:t>Priority</w:t>
            </w:r>
          </w:p>
        </w:tc>
        <w:tc>
          <w:tcPr>
            <w:tcW w:w="5217" w:type="dxa"/>
            <w:tcBorders>
              <w:top w:val="single" w:sz="4" w:space="0" w:color="A89662"/>
              <w:left w:val="single" w:sz="4" w:space="0" w:color="D9D9D2"/>
              <w:bottom w:val="single" w:sz="4" w:space="0" w:color="D9D9D2"/>
              <w:right w:val="single" w:sz="4" w:space="0" w:color="D9D9D2"/>
            </w:tcBorders>
            <w:shd w:color="auto" w:fill="002516" w:val="clear"/>
          </w:tcPr>
          <w:p>
            <w:pPr>
              <w:pStyle w:val="Normal"/>
              <w:spacing w:lineRule="auto" w:line="264" w:before="0" w:after="0"/>
              <w:rPr/>
            </w:pPr>
            <w:r>
              <w:rPr>
                <w:rFonts w:cs="Arial"/>
                <w:b/>
                <w:i w:val="false"/>
                <w:color w:val="FFFFFF"/>
                <w:sz w:val="18"/>
              </w:rPr>
              <w:t>Action</w:t>
            </w:r>
          </w:p>
        </w:tc>
        <w:tc>
          <w:tcPr>
            <w:tcW w:w="1644" w:type="dxa"/>
            <w:tcBorders>
              <w:top w:val="single" w:sz="4" w:space="0" w:color="A89662"/>
              <w:left w:val="single" w:sz="4" w:space="0" w:color="D9D9D2"/>
              <w:bottom w:val="single" w:sz="4" w:space="0" w:color="D9D9D2"/>
              <w:right w:val="single" w:sz="4" w:space="0" w:color="D9D9D2"/>
            </w:tcBorders>
            <w:shd w:color="auto" w:fill="002516" w:val="clear"/>
          </w:tcPr>
          <w:p>
            <w:pPr>
              <w:pStyle w:val="Normal"/>
              <w:spacing w:lineRule="auto" w:line="264" w:before="0" w:after="0"/>
              <w:rPr/>
            </w:pPr>
            <w:r>
              <w:rPr>
                <w:rFonts w:cs="Arial"/>
                <w:b/>
                <w:i w:val="false"/>
                <w:color w:val="FFFFFF"/>
                <w:sz w:val="18"/>
              </w:rPr>
              <w:t>Owner</w:t>
            </w:r>
          </w:p>
        </w:tc>
        <w:tc>
          <w:tcPr>
            <w:tcW w:w="1416"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4" w:before="0" w:after="0"/>
              <w:rPr/>
            </w:pPr>
            <w:r>
              <w:rPr>
                <w:rFonts w:cs="Arial"/>
                <w:b/>
                <w:i w:val="false"/>
                <w:color w:val="FFFFFF"/>
                <w:sz w:val="18"/>
              </w:rPr>
              <w:t>Timing</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4" w:before="0" w:after="0"/>
              <w:rPr/>
            </w:pPr>
            <w:r>
              <w:rPr>
                <w:rFonts w:cs="Arial"/>
                <w:b/>
                <w:i w:val="false"/>
                <w:color w:val="002516"/>
                <w:sz w:val="18"/>
              </w:rPr>
              <w:t>High</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Chase remaining Lead Leaders officer nominations and confirm final attendance</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Tomorrow</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4" w:before="0" w:after="0"/>
              <w:rPr/>
            </w:pPr>
            <w:r>
              <w:rPr>
                <w:rFonts w:cs="Arial"/>
                <w:b/>
                <w:i w:val="false"/>
                <w:color w:val="002516"/>
                <w:sz w:val="18"/>
              </w:rPr>
              <w:t>High</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Follow up Lighthouse approval for Engineer Survival</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ASAP</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4" w:before="0" w:after="0"/>
              <w:rPr/>
            </w:pPr>
            <w:r>
              <w:rPr>
                <w:rFonts w:cs="Arial"/>
                <w:b/>
                <w:i w:val="false"/>
                <w:color w:val="002516"/>
                <w:sz w:val="18"/>
              </w:rPr>
              <w:t>High</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Review and tighten the staff and contractor onboarding and induction SOP, including safety induction, supervision, due diligence and documented completion</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ASAP</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4" w:before="0" w:after="0"/>
              <w:rPr/>
            </w:pPr>
            <w:r>
              <w:rPr>
                <w:rFonts w:cs="Arial"/>
                <w:b/>
                <w:i w:val="false"/>
                <w:color w:val="002516"/>
                <w:sz w:val="18"/>
              </w:rPr>
              <w:t>High</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Make the close-out call to Drew, formally ending the contractor engagement and ensuring no expectation of future work remains</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ASAP</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4" w:before="0" w:after="0"/>
              <w:rPr/>
            </w:pPr>
            <w:r>
              <w:rPr>
                <w:rFonts w:cs="Arial"/>
                <w:b/>
                <w:i w:val="false"/>
                <w:color w:val="002516"/>
                <w:sz w:val="18"/>
              </w:rPr>
              <w:t>High</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Work with Army and OCS leadership to clarify Nemesis versus Lead Teams: intended outcomes, perform and recovery phases, coaching and appropriate positioning</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Upcoming</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4" w:before="0" w:after="0"/>
              <w:rPr/>
            </w:pPr>
            <w:r>
              <w:rPr>
                <w:rFonts w:cs="Arial"/>
                <w:b/>
                <w:i w:val="false"/>
                <w:color w:val="002516"/>
                <w:sz w:val="18"/>
              </w:rPr>
              <w:t>High</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Track outstanding H&amp;S audit actions, including kayak audit follow-up</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Ongoing</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EEF1E5" w:val="clear"/>
          </w:tcPr>
          <w:p>
            <w:pPr>
              <w:pStyle w:val="Normal"/>
              <w:spacing w:lineRule="auto" w:line="264" w:before="0" w:after="0"/>
              <w:rPr/>
            </w:pPr>
            <w:r>
              <w:rPr>
                <w:rFonts w:cs="Arial"/>
                <w:b/>
                <w:i w:val="false"/>
                <w:color w:val="002516"/>
                <w:sz w:val="18"/>
              </w:rPr>
              <w:t>Medium</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Coordinate with Jim and Dave Bertram on leadership journal use and briefing for current and upcoming courses</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Current courses</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EEF1E5" w:val="clear"/>
          </w:tcPr>
          <w:p>
            <w:pPr>
              <w:pStyle w:val="Normal"/>
              <w:spacing w:lineRule="auto" w:line="264" w:before="0" w:after="0"/>
              <w:rPr/>
            </w:pPr>
            <w:r>
              <w:rPr>
                <w:rFonts w:cs="Arial"/>
                <w:b/>
                <w:i w:val="false"/>
                <w:color w:val="002516"/>
                <w:sz w:val="18"/>
              </w:rPr>
              <w:t>Medium</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Prepare the ATG submission presentation and have Dave review it</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Wed to Thu</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EEF1E5" w:val="clear"/>
          </w:tcPr>
          <w:p>
            <w:pPr>
              <w:pStyle w:val="Normal"/>
              <w:spacing w:lineRule="auto" w:line="264" w:before="0" w:after="0"/>
              <w:rPr/>
            </w:pPr>
            <w:r>
              <w:rPr>
                <w:rFonts w:cs="Arial"/>
                <w:b/>
                <w:i w:val="false"/>
                <w:color w:val="002516"/>
                <w:sz w:val="18"/>
              </w:rPr>
              <w:t>Medium</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Develop the leadership-development programme for the 16 to 17 Nov Linton team-building activity, including allocation of instructors and session responsibilities</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Before Nov</w:t>
            </w:r>
          </w:p>
        </w:tc>
      </w:tr>
      <w:tr>
        <w:trPr>
          <w:cantSplit w:val="true"/>
        </w:trPr>
        <w:tc>
          <w:tcPr>
            <w:tcW w:w="1019" w:type="dxa"/>
            <w:tcBorders>
              <w:top w:val="single" w:sz="4" w:space="0" w:color="D9D9D2"/>
              <w:left w:val="single" w:sz="4" w:space="0" w:color="A89662"/>
              <w:bottom w:val="single" w:sz="4" w:space="0" w:color="D9D9D2"/>
              <w:right w:val="single" w:sz="4" w:space="0" w:color="D9D9D2"/>
            </w:tcBorders>
            <w:shd w:color="auto" w:fill="EEF1E5" w:val="clear"/>
          </w:tcPr>
          <w:p>
            <w:pPr>
              <w:pStyle w:val="Normal"/>
              <w:spacing w:lineRule="auto" w:line="264" w:before="0" w:after="0"/>
              <w:rPr/>
            </w:pPr>
            <w:r>
              <w:rPr>
                <w:rFonts w:cs="Arial"/>
                <w:b/>
                <w:i w:val="false"/>
                <w:color w:val="002516"/>
                <w:sz w:val="18"/>
              </w:rPr>
              <w:t>Medium</w:t>
            </w:r>
          </w:p>
        </w:tc>
        <w:tc>
          <w:tcPr>
            <w:tcW w:w="5217"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Organise the end-of-year farewell event, investigating the week of 23 Nov as the preferred option</w:t>
            </w:r>
          </w:p>
        </w:tc>
        <w:tc>
          <w:tcPr>
            <w:tcW w:w="1644" w:type="dxa"/>
            <w:tcBorders>
              <w:top w:val="single" w:sz="4" w:space="0" w:color="D9D9D2"/>
              <w:left w:val="single" w:sz="4" w:space="0" w:color="D9D9D2"/>
              <w:bottom w:val="single" w:sz="4" w:space="0" w:color="D9D9D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D9D9D2"/>
              <w:right w:val="single" w:sz="4" w:space="0" w:color="A89662"/>
            </w:tcBorders>
          </w:tcPr>
          <w:p>
            <w:pPr>
              <w:pStyle w:val="Normal"/>
              <w:spacing w:lineRule="auto" w:line="264" w:before="0" w:after="0"/>
              <w:rPr/>
            </w:pPr>
            <w:r>
              <w:rPr>
                <w:rFonts w:cs="Arial"/>
                <w:b w:val="false"/>
                <w:i w:val="false"/>
                <w:sz w:val="19"/>
              </w:rPr>
              <w:t>Confirm soon</w:t>
            </w:r>
          </w:p>
        </w:tc>
      </w:tr>
      <w:tr>
        <w:trPr>
          <w:cantSplit w:val="true"/>
        </w:trPr>
        <w:tc>
          <w:tcPr>
            <w:tcW w:w="1019" w:type="dxa"/>
            <w:tcBorders>
              <w:top w:val="single" w:sz="4" w:space="0" w:color="D9D9D2"/>
              <w:left w:val="single" w:sz="4" w:space="0" w:color="A89662"/>
              <w:bottom w:val="single" w:sz="4" w:space="0" w:color="A89662"/>
              <w:right w:val="single" w:sz="4" w:space="0" w:color="D9D9D2"/>
            </w:tcBorders>
            <w:shd w:color="auto" w:fill="EEF1E5" w:val="clear"/>
          </w:tcPr>
          <w:p>
            <w:pPr>
              <w:pStyle w:val="Normal"/>
              <w:spacing w:lineRule="auto" w:line="264" w:before="0" w:after="0"/>
              <w:rPr/>
            </w:pPr>
            <w:r>
              <w:rPr>
                <w:rFonts w:cs="Arial"/>
                <w:b/>
                <w:i w:val="false"/>
                <w:color w:val="002516"/>
                <w:sz w:val="18"/>
              </w:rPr>
              <w:t>Medium</w:t>
            </w:r>
          </w:p>
        </w:tc>
        <w:tc>
          <w:tcPr>
            <w:tcW w:w="5217" w:type="dxa"/>
            <w:tcBorders>
              <w:top w:val="single" w:sz="4" w:space="0" w:color="D9D9D2"/>
              <w:left w:val="single" w:sz="4" w:space="0" w:color="D9D9D2"/>
              <w:bottom w:val="single" w:sz="4" w:space="0" w:color="A89662"/>
              <w:right w:val="single" w:sz="4" w:space="0" w:color="D9D9D2"/>
            </w:tcBorders>
          </w:tcPr>
          <w:p>
            <w:pPr>
              <w:pStyle w:val="Normal"/>
              <w:spacing w:lineRule="auto" w:line="264" w:before="0" w:after="0"/>
              <w:rPr/>
            </w:pPr>
            <w:r>
              <w:rPr>
                <w:rFonts w:cs="Arial"/>
                <w:b w:val="false"/>
                <w:i w:val="false"/>
                <w:sz w:val="19"/>
              </w:rPr>
              <w:t>Provide Jim targeted admin support, particularly safety assurance, contractor administration and PO tracking</w:t>
            </w:r>
          </w:p>
        </w:tc>
        <w:tc>
          <w:tcPr>
            <w:tcW w:w="1644" w:type="dxa"/>
            <w:tcBorders>
              <w:top w:val="single" w:sz="4" w:space="0" w:color="D9D9D2"/>
              <w:left w:val="single" w:sz="4" w:space="0" w:color="D9D9D2"/>
              <w:bottom w:val="single" w:sz="4" w:space="0" w:color="A89662"/>
              <w:right w:val="single" w:sz="4" w:space="0" w:color="D9D9D2"/>
            </w:tcBorders>
          </w:tcPr>
          <w:p>
            <w:pPr>
              <w:pStyle w:val="Normal"/>
              <w:spacing w:lineRule="auto" w:line="264" w:before="0" w:after="0"/>
              <w:rPr/>
            </w:pPr>
            <w:r>
              <w:rPr>
                <w:rFonts w:cs="Arial"/>
                <w:b w:val="false"/>
                <w:i w:val="false"/>
                <w:sz w:val="19"/>
              </w:rPr>
              <w:t>Mike</w:t>
            </w:r>
          </w:p>
        </w:tc>
        <w:tc>
          <w:tcPr>
            <w:tcW w:w="1416" w:type="dxa"/>
            <w:tcBorders>
              <w:top w:val="single" w:sz="4" w:space="0" w:color="D9D9D2"/>
              <w:left w:val="single" w:sz="4" w:space="0" w:color="D9D9D2"/>
              <w:bottom w:val="single" w:sz="4" w:space="0" w:color="A89662"/>
              <w:right w:val="single" w:sz="4" w:space="0" w:color="A89662"/>
            </w:tcBorders>
          </w:tcPr>
          <w:p>
            <w:pPr>
              <w:pStyle w:val="Normal"/>
              <w:spacing w:lineRule="auto" w:line="264" w:before="0" w:after="0"/>
              <w:rPr/>
            </w:pPr>
            <w:r>
              <w:rPr>
                <w:rFonts w:cs="Arial"/>
                <w:b w:val="false"/>
                <w:i w:val="false"/>
                <w:sz w:val="19"/>
              </w:rPr>
              <w:t>Ongoing</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Meeting Record</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2</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2</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Meeting Record</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2</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2</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505</Words>
  <Characters>3045</Characters>
  <CharactersWithSpaces>3490</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2026-09-07T04:08:20Z</dcterms:modified>
  <cp:revision>2</cp:revision>
  <dc:subject/>
  <dc:title>Priorities and Actions</dc:title>
</cp:coreProperties>
</file>

<file path=docProps/custom.xml><?xml version="1.0" encoding="utf-8"?>
<Properties xmlns="http://schemas.openxmlformats.org/officeDocument/2006/custom-properties" xmlns:vt="http://schemas.openxmlformats.org/officeDocument/2006/docPropsVTypes"/>
</file>