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8_1179594044">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90_1179594044">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2_1179594044">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4_1179594044">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396_1179594044">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8_1179594044">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400_1179594044">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2_1179594044">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4_1179594044">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6_1179594044">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8_1179594044"/>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90_1179594044"/>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a problem statement, initial working definitions and their relationship, the Combat Mindset Framework as the organising system, and a programme of work, for decision.</w:t>
      </w:r>
    </w:p>
    <w:p>
      <w:pPr>
        <w:pStyle w:val="Normal"/>
        <w:rPr/>
      </w:pPr>
      <w:r>
        <w:rPr>
          <w:rFonts w:cs="Book Antiqua"/>
          <w:b w:val="false"/>
          <w:i w:val="false"/>
        </w:rPr>
        <w:t>The programme of work is phased: Phase 1 defines terminology, governance, roles and responsibilities; Phase 2 assesses existing doctrine, products, delivery and governance;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2_1179594044"/>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this programme of work in order to achieve that end state.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4_1179594044"/>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spacing w:before="120" w:after="160"/>
        <w:ind w:left="567" w:right="567"/>
        <w:rPr/>
      </w:pPr>
      <w:r>
        <w:rPr>
          <w:rFonts w:cs="Book Antiqua"/>
          <w:b w:val="false"/>
          <w:i/>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6_1179594044"/>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the development of Performance Under Pressure and, where applied in a warfighting context, to Combat Mindset. They do not constitute the doctrinal definitions or the complete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8_1179594044"/>
      <w:bookmarkEnd w:id="5"/>
      <w:r>
        <w:rPr>
          <w:rFonts w:cs="Arial" w:ascii="Arial" w:hAnsi="Arial"/>
          <w:b/>
          <w:i w:val="false"/>
          <w:color w:val="002516"/>
          <w:sz w:val="28"/>
        </w:rPr>
        <w:t>4.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They depend on stakeholder availability and on unit and training establishment programmes, and activity extending into early 2027 is anticipated rather than unforeseen.</w:t>
      </w:r>
    </w:p>
    <w:p>
      <w:pPr>
        <w:pStyle w:val="Heading2"/>
        <w:rPr/>
      </w:pPr>
      <w:r>
        <w:rPr>
          <w:rFonts w:cs="Arial" w:ascii="Arial" w:hAnsi="Arial"/>
          <w:b/>
          <w:i w:val="false"/>
          <w:color w:val="000000"/>
          <w:sz w:val="22"/>
        </w:rPr>
        <w:t>Phase 1: Define and govern (on endorsement of this paper; September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APS,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Leadership Development System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(November 2026) (ACS convenes) [proposed – confirm]</w:t>
      </w:r>
    </w:p>
    <w:p>
      <w:pPr>
        <w:pStyle w:val="Normal"/>
        <w:rPr/>
      </w:pPr>
      <w:r>
        <w:rPr>
          <w:rFonts w:cs="Book Antiqua"/>
          <w:b w:val="false"/>
          <w:i w:val="false"/>
        </w:rPr>
        <w:t>Refine the framework with key stakeholders: convene ACS, NZALC, HPC, APS, ILD, selected training providers and units to refine the framework, product architecture, governance model, implementation priorities, definition clarity and doctrinal coherence. Where time and unit availability permit, bounded pilots will be conducted within this phase or earlier alongside Phase 2 or Phase 3.</w:t>
      </w:r>
    </w:p>
    <w:p>
      <w:pPr>
        <w:pStyle w:val="Heading2"/>
        <w:rPr/>
      </w:pPr>
      <w:r>
        <w:rPr>
          <w:rFonts w:cs="Arial" w:ascii="Arial" w:hAnsi="Arial"/>
          <w:b/>
          <w:i w:val="false"/>
          <w:color w:val="000000"/>
          <w:sz w:val="22"/>
        </w:rPr>
        <w:t>Phase 5: Implement (late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400_1179594044"/>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APS,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2_1179594044"/>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Leadership Development System, COGCON and APS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30 September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4_1179594044"/>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APS, ILD and doctrinal holdings will be confirmed and referenced through the Phase 2 assessment.</w:t>
      </w:r>
    </w:p>
    <w:p>
      <w:pPr>
        <w:pStyle w:val="Heading1"/>
        <w:pBdr>
          <w:left w:val="single" w:sz="24" w:space="8" w:color="C62026"/>
        </w:pBdr>
        <w:rPr/>
      </w:pPr>
      <w:bookmarkStart w:id="9" w:name="__RefHeading___Toc406_1179594044"/>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2591</Words>
  <Characters>16739</Characters>
  <CharactersWithSpaces>19164</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2026-08-05T02:54:21Z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