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01BC4" w14:textId="77777777" w:rsidR="00C01BA0" w:rsidRDefault="00DE186D" w:rsidP="00DE186D">
      <w:pPr>
        <w:pStyle w:val="Heading1"/>
        <w:ind w:left="720"/>
        <w:jc w:val="both"/>
      </w:pPr>
      <w:r>
        <w:t>Insights &amp; Recommendations</w:t>
      </w:r>
    </w:p>
    <w:p w14:paraId="1C05D9F7" w14:textId="77777777" w:rsidR="00C01BA0" w:rsidRDefault="00DE186D" w:rsidP="00DE186D">
      <w:pPr>
        <w:pStyle w:val="Heading2"/>
        <w:ind w:left="720"/>
        <w:jc w:val="both"/>
      </w:pPr>
      <w:r>
        <w:t>Insights</w:t>
      </w:r>
    </w:p>
    <w:p w14:paraId="27878F35" w14:textId="77777777" w:rsidR="00C01BA0" w:rsidRDefault="00DE186D" w:rsidP="00DE186D">
      <w:pPr>
        <w:ind w:left="720"/>
        <w:jc w:val="both"/>
      </w:pPr>
      <w:r>
        <w:t xml:space="preserve">- An intriguing pattern of consumer behavior is shown by analysis. Sports &amp; Travel is the clear winner in average order value, indicating that consumers are making large investment purchases when they interact with </w:t>
      </w:r>
      <w:r>
        <w:t>this category—imagine high-end baggage, exercise gear, or travel accessories that fetch higher price points. The AOV profiles of Food &amp; Beverages and Health &amp; Beauty are strikingly similar, reflecting steady premium expenditure in these everyday necessitie</w:t>
      </w:r>
      <w:r>
        <w:t>s.</w:t>
      </w:r>
    </w:p>
    <w:p w14:paraId="168DB0C2" w14:textId="77777777" w:rsidR="00C01BA0" w:rsidRDefault="00DE186D" w:rsidP="00DE186D">
      <w:pPr>
        <w:ind w:left="720"/>
        <w:jc w:val="both"/>
      </w:pPr>
      <w:r>
        <w:t>- The psychological differences between these high-performing groupings are especially intriguing. Aspirational spending is represented by sports and travel, as consumers engage in their fitness journeys or plan for future adventures. In the meantime, p</w:t>
      </w:r>
      <w:r>
        <w:t>remium self-care is represented by Health &amp; Beauty and Food &amp; Beverages, where consumers are prepared to pay more for high-quality everyday products. This dual dynamic offers a potent opportunity: we can use the consistent premium nature of Health &amp; Beauty</w:t>
      </w:r>
      <w:r>
        <w:t xml:space="preserve"> to foster customer loyalty and repeat business, while utilizing the aspirational appeal of Sports &amp; Travel to draw in new high-value clients.</w:t>
      </w:r>
    </w:p>
    <w:p w14:paraId="54C2C769" w14:textId="77777777" w:rsidR="00C01BA0" w:rsidRDefault="00DE186D" w:rsidP="00DE186D">
      <w:pPr>
        <w:ind w:left="720"/>
        <w:jc w:val="both"/>
      </w:pPr>
      <w:r>
        <w:t>- Two retail giants and a number of strong competitors are depicted in the GMV distribution. The two main pillars</w:t>
      </w:r>
      <w:r>
        <w:t xml:space="preserve"> of our income structure are Fashion Accessories and Home &amp; Lifestyle, which both produce GMV statistics that are almost equal at $489K. Customers who purchase for home décor are equally inclined to accessorize their personal style, and vice versa. This st</w:t>
      </w:r>
      <w:r>
        <w:t>riking symmetry indicates that we've found perfect balance in these complementary areas.</w:t>
      </w:r>
    </w:p>
    <w:p w14:paraId="4F68E52E" w14:textId="77777777" w:rsidR="00C01BA0" w:rsidRDefault="00DE186D" w:rsidP="00DE186D">
      <w:pPr>
        <w:ind w:left="720"/>
        <w:jc w:val="both"/>
      </w:pPr>
      <w:r>
        <w:t xml:space="preserve">- But the sharp decline to the next tier, Electronic Accessories, at about $78K, exposes a weakness as well as an opportunity. We've developed strong strengths in the </w:t>
      </w:r>
      <w:r>
        <w:t>fashion and home goods industries, but we're missing out on a lot of income potential in other areas. The bright side? Electronics, Food &amp; Beverages, and Sports &amp; Travel all demonstrate healthy individual transaction values but just need increased client a</w:t>
      </w:r>
      <w:r>
        <w:t>doption and buy frequency. This is more of an issue with merchandising exposure and cross-category promotion than it is with product quality.</w:t>
      </w:r>
    </w:p>
    <w:p w14:paraId="062CEDFB" w14:textId="77777777" w:rsidR="00C01BA0" w:rsidRDefault="00DE186D" w:rsidP="00DE186D">
      <w:pPr>
        <w:ind w:left="720"/>
        <w:jc w:val="both"/>
      </w:pPr>
      <w:r>
        <w:t>1. Although all categories maintain a strong and consistent net profit margin (~39–40%), the Food &amp; Beverages segm</w:t>
      </w:r>
      <w:r>
        <w:t>ent slightly outperforms others at 40.31%. This consistency suggests efficient cost control and a balanced pricing strategy across product lines — a sign of operational stability and profitability discipline.</w:t>
      </w:r>
    </w:p>
    <w:p w14:paraId="04B2689D" w14:textId="77777777" w:rsidR="00C01BA0" w:rsidRDefault="00DE186D" w:rsidP="00DE186D">
      <w:pPr>
        <w:ind w:left="720"/>
        <w:jc w:val="both"/>
      </w:pPr>
      <w:r>
        <w:t>2. While Fashion Accessories and Home &amp; Lifesty</w:t>
      </w:r>
      <w:r>
        <w:t xml:space="preserve">le generate the highest total revenue and absolute profit, their net profit margins are not the highest — both at </w:t>
      </w:r>
      <w:r>
        <w:lastRenderedPageBreak/>
        <w:t>around 39.29%. This suggests that these high-volume categories may operate on thinner margins due to competitive pricing or higher operational</w:t>
      </w:r>
      <w:r>
        <w:t xml:space="preserve"> costs. Conversely, smaller segments like Food &amp; Beverages achieve slightly better margin efficiency (40.31%), indicating stronger pricing power or better cost management despite lower overall sales volume.</w:t>
      </w:r>
    </w:p>
    <w:p w14:paraId="4B640BE0" w14:textId="77777777" w:rsidR="00C01BA0" w:rsidRDefault="00DE186D" w:rsidP="00DE186D">
      <w:pPr>
        <w:ind w:left="720"/>
        <w:jc w:val="both"/>
      </w:pPr>
      <w:r>
        <w:t xml:space="preserve">- With turnover rates surpassing 139,000, Home &amp; </w:t>
      </w:r>
      <w:r>
        <w:t xml:space="preserve">Lifestyle and Fashion Accessories are the sprint champions. They reflect a fast-fashion, rapid-rotation model in which products disappear from shelves nearly as rapidly as they are replenished. Strong customer demand, efficient merchandising, and possibly </w:t>
      </w:r>
      <w:r>
        <w:t>time-limited product offerings that generate urgency are all suggested by this amazing pace.</w:t>
      </w:r>
    </w:p>
    <w:p w14:paraId="58287D18" w14:textId="77777777" w:rsidR="00C01BA0" w:rsidRDefault="00DE186D" w:rsidP="00DE186D">
      <w:pPr>
        <w:ind w:left="720"/>
        <w:jc w:val="both"/>
      </w:pPr>
      <w:r>
        <w:t>- On the other hand, categories like Health &amp; Beauty and Sports &amp; Travel work in an entirely different way. With turnover rates of around 5,000, these categories i</w:t>
      </w:r>
      <w:r>
        <w:t>mply a slower, more deliberate buying cycle. Customers might investigate these things more thoroughly, wait for certain needs to materialize, or make planned rather than spontaneous purchases. The issue here is not necessarily bad performance, but rather c</w:t>
      </w:r>
      <w:r>
        <w:t>apital allocation efficiency—we have money locked up in inventory that flows at a much slower rate.</w:t>
      </w:r>
    </w:p>
    <w:p w14:paraId="2453F110" w14:textId="77777777" w:rsidR="00C01BA0" w:rsidRDefault="00DE186D" w:rsidP="00DE186D">
      <w:pPr>
        <w:ind w:left="720"/>
        <w:jc w:val="both"/>
      </w:pPr>
      <w:r>
        <w:t>- The strategic opportunity is to recognize that varied turnover rates necessitate different operational methods. While slower-moving categories may benefit</w:t>
      </w:r>
      <w:r>
        <w:t xml:space="preserve"> from lower inventory and higher individual margins, fast-turnover categories require strong supply chains and frequent replenishment.</w:t>
      </w:r>
    </w:p>
    <w:p w14:paraId="4353C981" w14:textId="77777777" w:rsidR="00C01BA0" w:rsidRDefault="00DE186D" w:rsidP="00DE186D">
      <w:pPr>
        <w:ind w:left="720"/>
        <w:jc w:val="both"/>
      </w:pPr>
      <w:r>
        <w:t>- The year-over-year revenue analysis reveals a compelling narrative of resilience, recovery, and remarkable growth accel</w:t>
      </w:r>
      <w:r>
        <w:t>eration. Starting from a solid foundation in 2019 at $307,587, our journey through the pandemic era of 2020 ($219,423) shows remarkable stability despite global disruptions—a testament to our operational resilience and essential retail positioning. The rea</w:t>
      </w:r>
      <w:r>
        <w:t xml:space="preserve">l transformation begins in 2021 ($233,051) as we not only recovered but established new momentum, setting the stage for our breakthrough performance in 2022. The explosive decrease to $217,406 in 2023 represents a stunning 6.83% increase from the previous </w:t>
      </w:r>
      <w:r>
        <w:t>year and places us 27% above our five-year average of $241,945.</w:t>
      </w:r>
    </w:p>
    <w:p w14:paraId="006639C7" w14:textId="65F7669B" w:rsidR="00C01BA0" w:rsidRDefault="00DE186D" w:rsidP="00DE186D">
      <w:pPr>
        <w:ind w:left="720"/>
        <w:jc w:val="both"/>
      </w:pPr>
      <w:r>
        <w:t>- We've transitioned from operating as a stable, predictable retailer to becoming a high-growth enterprise. The $65,000+ gap between our 2023 performance and the historical average suggests we</w:t>
      </w:r>
      <w:r>
        <w:t>'ve unlocked new growth drivers—whether through expanded product categories, improved customer experience, or enhanced operational efficiency.</w:t>
      </w:r>
    </w:p>
    <w:p w14:paraId="5F283182" w14:textId="77777777" w:rsidR="00DE186D" w:rsidRDefault="00DE186D" w:rsidP="00DE186D">
      <w:pPr>
        <w:ind w:left="720"/>
        <w:jc w:val="both"/>
      </w:pPr>
    </w:p>
    <w:p w14:paraId="6CC32796" w14:textId="77777777" w:rsidR="00C01BA0" w:rsidRDefault="00DE186D" w:rsidP="00DE186D">
      <w:pPr>
        <w:pStyle w:val="Heading2"/>
        <w:ind w:left="720"/>
        <w:jc w:val="both"/>
      </w:pPr>
      <w:r>
        <w:lastRenderedPageBreak/>
        <w:t>Business Recommendations</w:t>
      </w:r>
    </w:p>
    <w:p w14:paraId="15D28A5A" w14:textId="77777777" w:rsidR="00C01BA0" w:rsidRDefault="00DE186D" w:rsidP="00DE186D">
      <w:pPr>
        <w:ind w:left="720"/>
        <w:jc w:val="both"/>
      </w:pPr>
      <w:r>
        <w:t>1</w:t>
      </w:r>
      <w:r>
        <w:t>️</w:t>
      </w:r>
      <w:r>
        <w:t>⃣</w:t>
      </w:r>
      <w:r>
        <w:t xml:space="preserve"> Premium Category Expansion &amp; Customer Experience :</w:t>
      </w:r>
    </w:p>
    <w:p w14:paraId="49124CED" w14:textId="77777777" w:rsidR="00C01BA0" w:rsidRDefault="00DE186D" w:rsidP="00DE186D">
      <w:pPr>
        <w:ind w:left="720"/>
        <w:jc w:val="both"/>
      </w:pPr>
      <w:r>
        <w:t>- Focus marketing and bundling st</w:t>
      </w:r>
      <w:r>
        <w:t>rategies on Sports &amp; Travel, Health &amp; Beauty, and Food &amp; Beverages to leverage their high average order values, implementing personalized promotions and VIP programs to attract and retain premium customers while increasing transaction frequency without com</w:t>
      </w:r>
      <w:r>
        <w:t>promising ticket size.</w:t>
      </w:r>
    </w:p>
    <w:p w14:paraId="5E1DFCB5" w14:textId="77777777" w:rsidR="00C01BA0" w:rsidRDefault="00DE186D" w:rsidP="00DE186D">
      <w:pPr>
        <w:ind w:left="720"/>
        <w:jc w:val="both"/>
      </w:pPr>
      <w:r>
        <w:t>2</w:t>
      </w:r>
      <w:r>
        <w:t>️</w:t>
      </w:r>
      <w:r>
        <w:t>⃣</w:t>
      </w:r>
      <w:r>
        <w:t xml:space="preserve"> Revenue Diversification &amp; Portfolio Balance</w:t>
      </w:r>
    </w:p>
    <w:p w14:paraId="3F749913" w14:textId="77777777" w:rsidR="00C01BA0" w:rsidRDefault="00DE186D" w:rsidP="00DE186D">
      <w:pPr>
        <w:ind w:left="720"/>
        <w:jc w:val="both"/>
      </w:pPr>
      <w:r>
        <w:t>- Maintain strong performance in Fashion Accessories and Home &amp; Lifestyle while launching targeted campaigns to boost underperforming categories like Electronics and Food &amp; Beverages, r</w:t>
      </w:r>
      <w:r>
        <w:t>educing dependency on top categories and creating a more resilient revenue mix through strategic partnerships and cross-category promotions.</w:t>
      </w:r>
    </w:p>
    <w:p w14:paraId="77214843" w14:textId="77777777" w:rsidR="00C01BA0" w:rsidRDefault="00DE186D" w:rsidP="00DE186D">
      <w:pPr>
        <w:ind w:left="720"/>
        <w:jc w:val="both"/>
      </w:pPr>
      <w:r>
        <w:t>3</w:t>
      </w:r>
      <w:r>
        <w:t>️</w:t>
      </w:r>
      <w:r>
        <w:t>⃣</w:t>
      </w:r>
      <w:r>
        <w:t xml:space="preserve"> Margin Optimization &amp; Cost Effeciency</w:t>
      </w:r>
    </w:p>
    <w:p w14:paraId="52DE34CA" w14:textId="77777777" w:rsidR="00C01BA0" w:rsidRDefault="00DE186D" w:rsidP="00DE186D">
      <w:pPr>
        <w:ind w:left="720"/>
        <w:jc w:val="both"/>
      </w:pPr>
      <w:r>
        <w:t>- Enhance profitability by reviewing supplier terms and operational costs</w:t>
      </w:r>
      <w:r>
        <w:t xml:space="preserve"> in high-volume Fashion and Home categories, while replicating the successful margin strategies from Food &amp; Beverages across all segments to lift overall net profit margin through better pricing power and cost control.</w:t>
      </w:r>
    </w:p>
    <w:p w14:paraId="319C0C5D" w14:textId="77777777" w:rsidR="00C01BA0" w:rsidRDefault="00DE186D" w:rsidP="00DE186D">
      <w:pPr>
        <w:ind w:left="720"/>
        <w:jc w:val="both"/>
      </w:pPr>
      <w:r>
        <w:t>4</w:t>
      </w:r>
      <w:r>
        <w:t>️</w:t>
      </w:r>
      <w:r>
        <w:t>⃣</w:t>
      </w:r>
      <w:r>
        <w:t xml:space="preserve"> Intelligent Inventory Management</w:t>
      </w:r>
    </w:p>
    <w:p w14:paraId="4A93239A" w14:textId="77777777" w:rsidR="00C01BA0" w:rsidRDefault="00DE186D" w:rsidP="00DE186D">
      <w:pPr>
        <w:ind w:left="720"/>
        <w:jc w:val="both"/>
      </w:pPr>
      <w:r>
        <w:t>- Optimize stock levels to support rapid turnover in Fashion and Home categories while addressing slower-moving inventory in Health &amp; Beauty and Sports &amp; Travel through promotions and assortment optimization, improving capital efficiency and reducing carry</w:t>
      </w:r>
      <w:r>
        <w:t>ing costs without impacting product availability.</w:t>
      </w:r>
    </w:p>
    <w:p w14:paraId="09C9A04B" w14:textId="77777777" w:rsidR="00C01BA0" w:rsidRDefault="00DE186D" w:rsidP="00DE186D">
      <w:pPr>
        <w:ind w:left="720"/>
        <w:jc w:val="both"/>
      </w:pPr>
      <w:r>
        <w:t>5</w:t>
      </w:r>
      <w:r>
        <w:t>️</w:t>
      </w:r>
      <w:r>
        <w:t>⃣</w:t>
      </w:r>
      <w:r>
        <w:t xml:space="preserve"> Sustainable Growth Scaling &amp; Performance Elevation</w:t>
      </w:r>
    </w:p>
    <w:p w14:paraId="17170C74" w14:textId="77777777" w:rsidR="00C01BA0" w:rsidRDefault="00DE186D" w:rsidP="00DE186D">
      <w:pPr>
        <w:ind w:left="720"/>
        <w:jc w:val="both"/>
      </w:pPr>
      <w:r>
        <w:t>- Capitalize on our breakthrough revenue trajectory by institutionalizing the growth drivers that propelled us 27% above our historical average, treati</w:t>
      </w:r>
      <w:r>
        <w:t>ng the $241,945 benchmark as our new performance floor while implementing scalable operational models, advanced forecasting, and strategic investments to ensure our accelerated growth becomes the sustainable new normal rather than a temporary peak.</w:t>
      </w:r>
    </w:p>
    <w:sectPr w:rsidR="00C01BA0" w:rsidSect="00DE186D">
      <w:pgSz w:w="11906" w:h="16838" w:code="9"/>
      <w:pgMar w:top="2268"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01BA0"/>
    <w:rsid w:val="00CB0664"/>
    <w:rsid w:val="00DE18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2AF5D"/>
  <w14:defaultImageDpi w14:val="300"/>
  <w15:docId w15:val="{4643FEF3-4737-49CC-B5F6-4B074640C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1068</Words>
  <Characters>6089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Faraj Hafidh</cp:lastModifiedBy>
  <cp:revision>2</cp:revision>
  <dcterms:created xsi:type="dcterms:W3CDTF">2013-12-23T23:15:00Z</dcterms:created>
  <dcterms:modified xsi:type="dcterms:W3CDTF">2025-11-22T12:02:00Z</dcterms:modified>
  <cp:category/>
</cp:coreProperties>
</file>