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CMMC Level 2 - AT - Awareness and Training</w:t>
      </w:r>
    </w:p>
    <w:p>
      <w:pPr>
        <w:jc w:val="center"/>
      </w:pPr>
      <w:r>
        <w:t>Generated: 2025-11-04 10:07:50</w:t>
      </w:r>
    </w:p>
    <w:p>
      <w:pPr>
        <w:pStyle w:val="Heading1"/>
      </w:pPr>
      <w:r>
        <w:t>3.2.1 - Ensure that managers, systems administrators, and users of organizational systems are made aware of the security risks associated with their activities and of the applicable policies, standards, and procedures related to the security of those systems</w:t>
      </w:r>
    </w:p>
    <w:p>
      <w:pPr>
        <w:pStyle w:val="Heading2"/>
      </w:pPr>
      <w:r>
        <w:t>Practice Statement</w:t>
      </w:r>
    </w:p>
    <w:p>
      <w:r>
        <w:t>Ensure that managers, systems administrators, and users of organizational systems are made aware of the security risks associated with their activities and of the applicable policies, standards, and procedures related to the security of those systems</w:t>
      </w:r>
    </w:p>
    <w:p>
      <w:pPr>
        <w:pStyle w:val="Heading2"/>
      </w:pPr>
      <w:r>
        <w:t>Implementation Status</w:t>
      </w:r>
    </w:p>
    <w:p>
      <w:r>
        <w:t>Audit Ready</w:t>
      </w:r>
    </w:p>
    <w:p>
      <w:pPr>
        <w:pStyle w:val="Heading2"/>
      </w:pPr>
      <w:r>
        <w:t>Policy Summary</w:t>
      </w:r>
    </w:p>
    <w:p>
      <w:pPr>
        <w:pStyle w:val="ListBullet"/>
      </w:pPr>
      <w:r>
        <w:t>The organization shall ensure managers, system administrators, and users of organizational systems understand the security risks associated with their roles and activities, as well as applicable policies, standards, and procedures governing the protection of organizational systems and sensitive information. Security awareness training shall be delivered based on role-specific risk profiles, tailored to address common threats such as phishing, incident reporting, and CUI handling requirements. Training programs will include both initial training (within 30 days of onboarding) and recurring annual sessions, with performance assessments to ensure comprehension and compliance. Awareness efforts shall reinforce secure practices through continuous engagement methods such as logon banners, quick reference materials, posters, and email reminders, ensuring personnel remain informed of emerging risks and are equipped to mitigate them effectively</w:t>
      </w:r>
    </w:p>
    <w:p>
      <w:pPr>
        <w:pStyle w:val="Heading2"/>
      </w:pPr>
      <w:r>
        <w:t>Implementation Details</w:t>
      </w:r>
    </w:p>
    <w:p>
      <w:pPr>
        <w:pStyle w:val="Heading3"/>
      </w:pPr>
      <w:r>
        <w:t>Azure Mechanism</w:t>
      </w:r>
    </w:p>
    <w:p>
      <w:r>
        <w:t>Policy control</w:t>
      </w:r>
    </w:p>
    <w:p>
      <w:pPr>
        <w:pStyle w:val="Heading3"/>
      </w:pPr>
      <w:r>
        <w:t>Azure Configuration Process</w:t>
      </w:r>
    </w:p>
    <w:p>
      <w:r>
        <w:t>Client is responsible for performing own formal analysis of information security risks posed to the organization. Client is responsible for identifying relevant policies and procedures that client personnel must be trained on. Client is responsible for performing appropriate training on information security risks and associated policies and procedures. Client is responsible for retaining evidence of this training</w:t>
      </w:r>
    </w:p>
    <w:p>
      <w:pPr>
        <w:pStyle w:val="Heading3"/>
      </w:pPr>
      <w:r>
        <w:t>AVD/Laptop Environment</w:t>
      </w:r>
    </w:p>
    <w:p>
      <w:pPr>
        <w:pStyle w:val="ListBullet"/>
      </w:pPr>
      <w:r>
        <w:t>Mechanisms exist to facilitate the implementation of security workforce development and awareness controls</w:t>
      </w:r>
    </w:p>
    <w:p>
      <w:pPr>
        <w:pStyle w:val="ListBullet"/>
      </w:pPr>
      <w:r>
        <w:t>Mechanisms exist to provide all employees and contractors appropriate awareness education and training that is relevant for their job function</w:t>
      </w:r>
    </w:p>
    <w:p>
      <w:pPr>
        <w:pStyle w:val="ListBullet"/>
      </w:pPr>
      <w:r>
        <w:t>Mechanisms exist to provide role-based cybersecurity &amp; data privacy awareness training that is current and relevant to the cyber threats that users might encounter in day-to-day business operations</w:t>
      </w:r>
    </w:p>
    <w:p>
      <w:pPr>
        <w:pStyle w:val="ListBullet"/>
      </w:pPr>
      <w:r>
        <w:t>Mechanisms exist to utilize security awareness training on recognizing and reporting potential indicators of insider threat</w:t>
      </w:r>
    </w:p>
    <w:p>
      <w:pPr>
        <w:pStyle w:val="ListBullet"/>
      </w:pPr>
      <w:r>
        <w:t>Mechanisms exist to include awareness training on recognizing and reporting potential and actual instances of social engineering and social mining</w:t>
      </w:r>
    </w:p>
    <w:p>
      <w:pPr>
        <w:pStyle w:val="ListBullet"/>
      </w:pPr>
      <w:r>
        <w:t xml:space="preserve">Mechanisms exist to provide role-based cybersecurity &amp; data privacy-related training: </w:t>
        <w:br/>
        <w:br/>
        <w:t xml:space="preserve"> •Before authorizing access to the system or performing assigned duties</w:t>
      </w:r>
    </w:p>
    <w:p>
      <w:pPr>
        <w:pStyle w:val="ListBullet"/>
      </w:pPr>
      <w:r>
        <w:t>•When required by system changes</w:t>
      </w:r>
    </w:p>
    <w:p>
      <w:pPr>
        <w:pStyle w:val="ListBullet"/>
      </w:pPr>
      <w:r>
        <w:t xml:space="preserve">and </w:t>
        <w:br/>
        <w:br/>
        <w:t xml:space="preserve"> •Annually thereafter</w:t>
      </w:r>
    </w:p>
    <w:p>
      <w:pPr>
        <w:pStyle w:val="ListBullet"/>
      </w:pPr>
      <w:r>
        <w:t>Mechanisms exist to maintain situational awareness of evolving threats by leveraging the knowledge of attacker tactics</w:t>
      </w:r>
    </w:p>
    <w:p>
      <w:pPr>
        <w:pStyle w:val="ListBullet"/>
      </w:pPr>
      <w:r>
        <w:t>techniques and procedures to facilitate the implementation of preventative and compensating controls</w:t>
      </w:r>
    </w:p>
    <w:p>
      <w:pPr>
        <w:pStyle w:val="Heading3"/>
      </w:pPr>
      <w:r>
        <w:t>Evidence Strings</w:t>
      </w:r>
    </w:p>
    <w:p>
      <w:pPr>
        <w:pStyle w:val="ListBullet"/>
      </w:pPr>
      <w:r>
        <w:t>Evidence\AT\ABS Insider Threat Training.png</w:t>
      </w:r>
    </w:p>
    <w:p>
      <w:pPr>
        <w:pStyle w:val="ListBullet"/>
      </w:pPr>
      <w:r>
        <w:t>Evidence\AT\ABS Cybersecurity Awareness Training.jpg</w:t>
      </w:r>
    </w:p>
    <w:p>
      <w:pPr>
        <w:pStyle w:val="ListBullet"/>
      </w:pPr>
      <w:r>
        <w:t>Evidence\AT\Cybertraining 2.png</w:t>
      </w:r>
    </w:p>
    <w:p>
      <w:pPr>
        <w:pStyle w:val="ListBullet"/>
      </w:pPr>
      <w:r>
        <w:t>Evidence\AT\Cybertraining.png</w:t>
      </w:r>
    </w:p>
    <w:p>
      <w:pPr>
        <w:pStyle w:val="ListBullet"/>
      </w:pPr>
      <w:r>
        <w:t>Evidence\AT\CUI Ivanti Request.png</w:t>
      </w:r>
    </w:p>
    <w:p>
      <w:r>
        <w:br w:type="page"/>
      </w:r>
    </w:p>
    <w:p>
      <w:pPr>
        <w:pStyle w:val="Heading1"/>
      </w:pPr>
      <w:r>
        <w:t>3.2.2 - Ensure that organizational personnel are adequately trained to carry out their assigned information security-related duties and responsibilities</w:t>
      </w:r>
    </w:p>
    <w:p>
      <w:pPr>
        <w:pStyle w:val="Heading2"/>
      </w:pPr>
      <w:r>
        <w:t>Practice Statement</w:t>
      </w:r>
    </w:p>
    <w:p>
      <w:r>
        <w:t>Ensure that organizational personnel are adequately trained to carry out their assigned information security-related duties and responsibilities</w:t>
      </w:r>
    </w:p>
    <w:p>
      <w:pPr>
        <w:pStyle w:val="Heading2"/>
      </w:pPr>
      <w:r>
        <w:t>Implementation Status</w:t>
      </w:r>
    </w:p>
    <w:p>
      <w:r>
        <w:t>Audit Ready</w:t>
      </w:r>
    </w:p>
    <w:p>
      <w:pPr>
        <w:pStyle w:val="Heading2"/>
      </w:pPr>
      <w:r>
        <w:t>Policy Summary</w:t>
      </w:r>
    </w:p>
    <w:p>
      <w:pPr>
        <w:pStyle w:val="ListBullet"/>
      </w:pPr>
      <w:r>
        <w:t>The organization shall ensure personnel are adequately trained to perform the information security-related duties and responsibilities inherent to their roles, in alignment with NIST SP 800‑171 3.2.2 assessment objectives. Training for security-critical roles shall be tailored to specific responsibilities, including privileged access management, system configuration, secure coding practices, incident response procedures, and compliance obligations, via a combination of internal and external resources. Personnel shall complete initial training within 30 days of role assignment, supplemented by annual refreshers and professional certifications where applicable. The implementation and tracking of training compliance will leverage role-based training matrices, completion rosters, assessments, and evidence of external certifications, ensuring continuous improvement and alignment with evolving cybersecurity requirements</w:t>
      </w:r>
    </w:p>
    <w:p>
      <w:pPr>
        <w:pStyle w:val="Heading2"/>
      </w:pPr>
      <w:r>
        <w:t>Implementation Details</w:t>
      </w:r>
    </w:p>
    <w:p>
      <w:pPr>
        <w:pStyle w:val="Heading3"/>
      </w:pPr>
      <w:r>
        <w:t>Azure Mechanism</w:t>
      </w:r>
    </w:p>
    <w:p>
      <w:r>
        <w:t>Policy control</w:t>
      </w:r>
    </w:p>
    <w:p>
      <w:pPr>
        <w:pStyle w:val="Heading3"/>
      </w:pPr>
      <w:r>
        <w:t>Azure Configuration Process</w:t>
      </w:r>
    </w:p>
    <w:p>
      <w:r>
        <w:t>Client is responsible for performing own formal analysis of information security risks posed to the organization. Client is responsible for identifying relevant policies and procedures that client personnel must be trained on. Client is responsible for performing appropriate training on information security risks and associated policies and procedures. Client is responsible for retaining evidence of this training</w:t>
      </w:r>
    </w:p>
    <w:p>
      <w:pPr>
        <w:pStyle w:val="Heading3"/>
      </w:pPr>
      <w:r>
        <w:t>AVD/Laptop Environment</w:t>
      </w:r>
    </w:p>
    <w:p>
      <w:pPr>
        <w:pStyle w:val="ListBullet"/>
      </w:pPr>
      <w:r>
        <w:t>Mechanisms exist to provide role-based cybersecurity &amp; data privacy awareness training that is current and relevant to the cyber threats that users might encounter in day-to-day business operations</w:t>
      </w:r>
    </w:p>
    <w:p>
      <w:pPr>
        <w:pStyle w:val="ListBullet"/>
      </w:pPr>
      <w:r>
        <w:t xml:space="preserve">Mechanisms exist to provide role-based cybersecurity &amp; data privacy-related training: </w:t>
        <w:br/>
        <w:br/>
        <w:t xml:space="preserve"> •Before authorizing access to the system or performing assigned duties</w:t>
      </w:r>
    </w:p>
    <w:p>
      <w:pPr>
        <w:pStyle w:val="ListBullet"/>
      </w:pPr>
      <w:r>
        <w:t>•When required by system changes</w:t>
      </w:r>
    </w:p>
    <w:p>
      <w:pPr>
        <w:pStyle w:val="ListBullet"/>
      </w:pPr>
      <w:r>
        <w:t xml:space="preserve">and </w:t>
        <w:br/>
        <w:br/>
        <w:t xml:space="preserve"> •Annually thereafter</w:t>
      </w:r>
    </w:p>
    <w:p>
      <w:pPr>
        <w:pStyle w:val="ListBullet"/>
      </w:pPr>
      <w:r>
        <w:t>Mechanisms exist to ensure that individuals accessing a system that stores</w:t>
      </w:r>
    </w:p>
    <w:p>
      <w:pPr>
        <w:pStyle w:val="ListBullet"/>
      </w:pPr>
      <w:r>
        <w:t>transmits or processes information requiring special protection satisfy organization-defined personnel screening criteria</w:t>
      </w:r>
    </w:p>
    <w:p>
      <w:pPr>
        <w:pStyle w:val="ListBullet"/>
      </w:pPr>
      <w:r>
        <w:t>Mechanisms exist to maintain situational awareness of evolving threats by leveraging the knowledge of attacker tactics</w:t>
      </w:r>
    </w:p>
    <w:p>
      <w:pPr>
        <w:pStyle w:val="ListBullet"/>
      </w:pPr>
      <w:r>
        <w:t>techniques and procedures to facilitate the implementation of preventative and compensating controls</w:t>
      </w:r>
    </w:p>
    <w:p>
      <w:pPr>
        <w:pStyle w:val="Heading3"/>
      </w:pPr>
      <w:r>
        <w:t>Evidence Strings</w:t>
      </w:r>
    </w:p>
    <w:p>
      <w:pPr>
        <w:pStyle w:val="ListBullet"/>
      </w:pPr>
      <w:r>
        <w:t>Evidence\AT\ABS Insider Threat Training.png</w:t>
      </w:r>
    </w:p>
    <w:p>
      <w:pPr>
        <w:pStyle w:val="ListBullet"/>
      </w:pPr>
      <w:r>
        <w:t>Evidence\AT\ABS Cybersecurity Awareness Training.jpg</w:t>
      </w:r>
    </w:p>
    <w:p>
      <w:pPr>
        <w:pStyle w:val="ListBullet"/>
      </w:pPr>
      <w:r>
        <w:t>Evidence\AT\Cybertraining 2.png</w:t>
      </w:r>
    </w:p>
    <w:p>
      <w:pPr>
        <w:pStyle w:val="ListBullet"/>
      </w:pPr>
      <w:r>
        <w:t>Evidence\AT\Cybertraining.png</w:t>
      </w:r>
    </w:p>
    <w:p>
      <w:pPr>
        <w:pStyle w:val="ListBullet"/>
      </w:pPr>
      <w:r>
        <w:t>Evidence\AT\CUI Ivanti Request.png</w:t>
      </w:r>
    </w:p>
    <w:p>
      <w:pPr>
        <w:pStyle w:val="ListBullet"/>
      </w:pPr>
      <w:r>
        <w:t>Evidence\AT\DoD CyberAwarenessChallenge.pdf</w:t>
      </w:r>
    </w:p>
    <w:p>
      <w:r>
        <w:br w:type="page"/>
      </w:r>
    </w:p>
    <w:p>
      <w:pPr>
        <w:pStyle w:val="Heading1"/>
      </w:pPr>
      <w:r>
        <w:t>3.2.3 - Provide security awareness training on recognizing and reporting potential indicators of insider threat</w:t>
      </w:r>
    </w:p>
    <w:p>
      <w:pPr>
        <w:pStyle w:val="Heading2"/>
      </w:pPr>
      <w:r>
        <w:t>Practice Statement</w:t>
      </w:r>
    </w:p>
    <w:p>
      <w:r>
        <w:t>Provide security awareness training on recognizing and reporting potential indicators of insider threat</w:t>
      </w:r>
    </w:p>
    <w:p>
      <w:pPr>
        <w:pStyle w:val="Heading2"/>
      </w:pPr>
      <w:r>
        <w:t>Implementation Status</w:t>
      </w:r>
    </w:p>
    <w:p>
      <w:r>
        <w:t>Audit Ready</w:t>
      </w:r>
    </w:p>
    <w:p>
      <w:pPr>
        <w:pStyle w:val="Heading2"/>
      </w:pPr>
      <w:r>
        <w:t>Policy Summary</w:t>
      </w:r>
    </w:p>
    <w:p>
      <w:pPr>
        <w:pStyle w:val="ListBullet"/>
      </w:pPr>
      <w:r>
        <w:t>The organization shall provide security awareness training to equip personnel with the knowledge to recognize and report potential indicators of insider threats, in alignment with NIST SP 800‑171 3.2.3 assessment objectives. Training must cover behavioral, personal, and technical indicators of insider threats, along with proper reporting mechanisms, the non-retaliation policy, and real-world case studies to contextualize risks. All personnel shall complete insider threat awareness training as part of general security awareness and annual refreshers, with managers and security-critical roles receiving additional role-specific guidance. Technical monitoring via Sentinel analytics rules will complement behavioral awareness by identifying anomalies in access, data transfer, and login activity</w:t>
      </w:r>
    </w:p>
    <w:p>
      <w:pPr>
        <w:pStyle w:val="ListBullet"/>
      </w:pPr>
      <w:r>
        <w:t>all insider threat concerns will follow established reporting and investigation procedures to ensure swift response and mitigation. Evidence of training delivery, technical validation, and case handling shall demonstrate organizational readiness to prevent, detect, and respond to insider threats</w:t>
      </w:r>
    </w:p>
    <w:p>
      <w:pPr>
        <w:pStyle w:val="Heading2"/>
      </w:pPr>
      <w:r>
        <w:t>Implementation Details</w:t>
      </w:r>
    </w:p>
    <w:p>
      <w:pPr>
        <w:pStyle w:val="Heading3"/>
      </w:pPr>
      <w:r>
        <w:t>Azure Mechanism</w:t>
      </w:r>
    </w:p>
    <w:p>
      <w:r>
        <w:t>Policy control</w:t>
      </w:r>
    </w:p>
    <w:p>
      <w:pPr>
        <w:pStyle w:val="Heading3"/>
      </w:pPr>
      <w:r>
        <w:t>Azure Configuration Process</w:t>
      </w:r>
    </w:p>
    <w:p>
      <w:r>
        <w:t>Client is responsible for performing own formal analysis of information security risks posed to the organization. Client is responsible for identifying relevant policies and procedures that client personnel must be trained on. Client is responsible for performing appropriate training on information security risks and associated policies and procedures. Client is responsible for retaining evidence of this training</w:t>
      </w:r>
    </w:p>
    <w:p>
      <w:pPr>
        <w:pStyle w:val="Heading3"/>
      </w:pPr>
      <w:r>
        <w:t>Evidence Strings</w:t>
      </w:r>
    </w:p>
    <w:p>
      <w:pPr>
        <w:pStyle w:val="ListBullet"/>
      </w:pPr>
      <w:r>
        <w:t>Evidence\AT\ABS Insider Threat Training.png</w:t>
      </w:r>
    </w:p>
    <w:p>
      <w:pPr>
        <w:pStyle w:val="ListBullet"/>
      </w:pPr>
      <w:r>
        <w:t>Evidence\AT\DoD CyberAwarenessChallenge.pdf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