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CMMC Level 2 - PS - Personnel Security</w:t>
      </w:r>
    </w:p>
    <w:p>
      <w:pPr>
        <w:jc w:val="center"/>
      </w:pPr>
      <w:r>
        <w:t>Generated: 2025-11-04 10:07:51</w:t>
      </w:r>
    </w:p>
    <w:p>
      <w:pPr>
        <w:pStyle w:val="Heading1"/>
      </w:pPr>
      <w:r>
        <w:t>3.9.1 - Screen individuals prior to authorizing access to organizational systems containing CUI</w:t>
      </w:r>
    </w:p>
    <w:p>
      <w:pPr>
        <w:pStyle w:val="Heading2"/>
      </w:pPr>
      <w:r>
        <w:t>Practice Statement</w:t>
      </w:r>
    </w:p>
    <w:p>
      <w:r>
        <w:t>Screen individuals prior to authorizing access to organizational systems containing CUI</w:t>
      </w:r>
    </w:p>
    <w:p>
      <w:pPr>
        <w:pStyle w:val="Heading2"/>
      </w:pPr>
      <w:r>
        <w:t>Implementation Status</w:t>
      </w:r>
    </w:p>
    <w:p>
      <w:r>
        <w:t>Implemented</w:t>
      </w:r>
    </w:p>
    <w:p>
      <w:pPr>
        <w:pStyle w:val="Heading2"/>
      </w:pPr>
      <w:r>
        <w:t>Policy Summary</w:t>
      </w:r>
    </w:p>
    <w:p>
      <w:pPr>
        <w:pStyle w:val="ListBullet"/>
      </w:pPr>
      <w:r>
        <w:t>The organization shall screen all individuals prior to authorizing access to systems containing Controlled Unclassified Information (CUI), in alignment with NIST SP 800‑171 3.9.1 assessment objectives. Screening shall include criminal background checks, employment and education verification, reference checks, and additional assessments appropriate to security-critical positions as part of a structured hiring and onboarding process. Individuals must complete the screening process and receive approval before access to CUI systems is granted, with results securely stored and managed by authorized personnel in compliance with privacy regulations such as FCRA. Screening compliance shall be validated through regular reviews, ensuring all personnel meet the organization’s trustworthiness and suitability requirements for handling sensitive information. Screened individuals will have their access tied to established policies and procedures that reinforce security and personnel accountability</w:t>
      </w:r>
    </w:p>
    <w:p>
      <w:pPr>
        <w:pStyle w:val="Heading2"/>
      </w:pPr>
      <w:r>
        <w:t>Implementation Details</w:t>
      </w:r>
    </w:p>
    <w:p>
      <w:pPr>
        <w:pStyle w:val="Heading3"/>
      </w:pPr>
      <w:r>
        <w:t>Azure Mechanism</w:t>
      </w:r>
    </w:p>
    <w:p>
      <w:r>
        <w:t>None</w:t>
      </w:r>
    </w:p>
    <w:p>
      <w:pPr>
        <w:pStyle w:val="Heading3"/>
      </w:pPr>
      <w:r>
        <w:t>Azure Configuration Process</w:t>
      </w:r>
    </w:p>
    <w:p>
      <w:r>
        <w:t>Summit 7 provides customers with evidence of training (including Insider Threat) and personnel screening. The customer is responsible for agreeing to the sufficiency of these records in alignment to the customer's training and personnel screening requirements and policies</w:t>
      </w:r>
    </w:p>
    <w:p>
      <w:pPr>
        <w:pStyle w:val="Heading3"/>
      </w:pPr>
      <w:r>
        <w:t>AVD/Laptop Environment</w:t>
      </w:r>
    </w:p>
    <w:p>
      <w:pPr>
        <w:pStyle w:val="ListBullet"/>
      </w:pPr>
      <w:r>
        <w:t>Mechanisms exist to manage personnel security risk by screening individuals prior to authorizing access</w:t>
      </w:r>
    </w:p>
    <w:p>
      <w:pPr>
        <w:pStyle w:val="ListBullet"/>
      </w:pPr>
      <w:r>
        <w:t>Mechanisms exist to ensure that individuals accessing a system that stores</w:t>
      </w:r>
    </w:p>
    <w:p>
      <w:pPr>
        <w:pStyle w:val="ListBullet"/>
      </w:pPr>
      <w:r>
        <w:t>transmits or processes information requiring special protection satisfy organization-defined personnel screening criteria</w:t>
      </w:r>
    </w:p>
    <w:p>
      <w:pPr>
        <w:pStyle w:val="Heading3"/>
      </w:pPr>
      <w:r>
        <w:t>Evidence Strings</w:t>
      </w:r>
    </w:p>
    <w:p>
      <w:pPr>
        <w:pStyle w:val="ListBullet"/>
      </w:pPr>
      <w:r>
        <w:t>Evidence\PS\2025 Building Information and Policy.pdf</w:t>
      </w:r>
    </w:p>
    <w:p>
      <w:pPr>
        <w:pStyle w:val="ListBullet"/>
      </w:pPr>
      <w:r>
        <w:t>Evidence\PS\Hire Right.jpg</w:t>
      </w:r>
    </w:p>
    <w:p>
      <w:pPr>
        <w:pStyle w:val="ListBullet"/>
      </w:pPr>
      <w:r>
        <w:t>Evidence\PS\IMS-POL-00003 Rev 1.docx</w:t>
      </w:r>
    </w:p>
    <w:p>
      <w:pPr>
        <w:pStyle w:val="ListBullet"/>
      </w:pPr>
      <w:r>
        <w:t>Evidence\PS\IMS-PRO-00109 Rev 2.docx</w:t>
      </w:r>
    </w:p>
    <w:p>
      <w:pPr>
        <w:pStyle w:val="ListBullet"/>
      </w:pPr>
      <w:r>
        <w:t>Evidence\PS\IMS-PRO-0106 Rev. 1.docx</w:t>
      </w:r>
    </w:p>
    <w:p>
      <w:r>
        <w:br w:type="page"/>
      </w:r>
    </w:p>
    <w:p>
      <w:pPr>
        <w:pStyle w:val="Heading1"/>
      </w:pPr>
      <w:r>
        <w:t>3.9.2 - Ensure that organizational systems containing CUI are protected during and after personnel actions such as terminations and transfers</w:t>
      </w:r>
    </w:p>
    <w:p>
      <w:pPr>
        <w:pStyle w:val="Heading2"/>
      </w:pPr>
      <w:r>
        <w:t>Practice Statement</w:t>
      </w:r>
    </w:p>
    <w:p>
      <w:r>
        <w:t>Ensure that organizational systems containing CUI are protected during and after personnel actions such as terminations and transfers</w:t>
      </w:r>
    </w:p>
    <w:p>
      <w:pPr>
        <w:pStyle w:val="Heading2"/>
      </w:pPr>
      <w:r>
        <w:t>Implementation Status</w:t>
      </w:r>
    </w:p>
    <w:p>
      <w:r>
        <w:t>Implemented</w:t>
      </w:r>
    </w:p>
    <w:p>
      <w:pPr>
        <w:pStyle w:val="Heading2"/>
      </w:pPr>
      <w:r>
        <w:t>Policy Summary</w:t>
      </w:r>
    </w:p>
    <w:p>
      <w:pPr>
        <w:pStyle w:val="ListBullet"/>
      </w:pPr>
      <w:r>
        <w:t>The organization shall ensure that systems containing Controlled Unclassified Information (CUI) are protected during and after personnel actions, such as terminations, transfers, and extended leaves, in alignment with NIST SP 800‑171 3.9.2 assessment objectives. For terminations, user access shall be disabled promptly, equipment recovered, and CUI systems safeguarded through account deactivation, group membership changes, and device sanitization using NIST-compliant procedures. Transfers shall follow a need-to-know principle, with CUI access reviewed and adjusted according to the employee’s new role or responsibilities. Extended leaves exceeding 90 days shall result in access suspension to reduce security risks associated with inactive accounts. A documented exit process, including reminders of confidentiality obligations and secure equipment handling, ensures post-employment protection, while all personnel actions are logged and audited to maintain compliance, accountability, and the confidentiality of CUI</w:t>
      </w:r>
    </w:p>
    <w:p>
      <w:pPr>
        <w:pStyle w:val="Heading2"/>
      </w:pPr>
      <w:r>
        <w:t>Implementation Details</w:t>
      </w:r>
    </w:p>
    <w:p>
      <w:pPr>
        <w:pStyle w:val="Heading3"/>
      </w:pPr>
      <w:r>
        <w:t>Azure Mechanism</w:t>
      </w:r>
    </w:p>
    <w:p>
      <w:r>
        <w:t>EntraID</w:t>
      </w:r>
    </w:p>
    <w:p>
      <w:pPr>
        <w:pStyle w:val="Heading3"/>
      </w:pPr>
      <w:r>
        <w:t>Azure Configuration Process</w:t>
      </w:r>
    </w:p>
    <w:p>
      <w:pPr>
        <w:pStyle w:val="ListBullet"/>
      </w:pPr>
      <w:r>
        <w:t>S7 has a standard process in place for terminating accounts</w:t>
      </w:r>
    </w:p>
    <w:p>
      <w:pPr>
        <w:pStyle w:val="ListBullet"/>
      </w:pPr>
      <w:r>
        <w:t>or modifying permissions of accounts. Client is responsible for having a process in place for notifying S7 of terminations and transfers as they occur</w:t>
      </w:r>
    </w:p>
    <w:p>
      <w:pPr>
        <w:pStyle w:val="Heading3"/>
      </w:pPr>
      <w:r>
        <w:t>AVD/Laptop Environment</w:t>
      </w:r>
    </w:p>
    <w:p>
      <w:pPr>
        <w:pStyle w:val="ListBullet"/>
      </w:pPr>
      <w:r>
        <w:t>Mechanisms exist to utilize a formal user registration and de-registration process that governs the assignment of access rights</w:t>
      </w:r>
    </w:p>
    <w:p>
      <w:pPr>
        <w:pStyle w:val="ListBullet"/>
      </w:pPr>
      <w:r>
        <w:t>Mechanisms exist to adjust logical and physical access authorizations to systems and facilities upon personnel reassignment or transfer</w:t>
      </w:r>
    </w:p>
    <w:p>
      <w:pPr>
        <w:pStyle w:val="ListBullet"/>
      </w:pPr>
      <w:r>
        <w:t>in a timely manner</w:t>
      </w:r>
    </w:p>
    <w:p>
      <w:pPr>
        <w:pStyle w:val="ListBullet"/>
      </w:pPr>
      <w:r>
        <w:t>Mechanisms exist to govern the termination of individual employment</w:t>
      </w:r>
    </w:p>
    <w:p>
      <w:pPr>
        <w:pStyle w:val="ListBullet"/>
      </w:pPr>
      <w:r>
        <w:t>Mechanisms exist to ensure that employees and third-party users return all organizational assets in their possession upon termination of employment</w:t>
      </w:r>
    </w:p>
    <w:p>
      <w:pPr>
        <w:pStyle w:val="ListBullet"/>
      </w:pPr>
      <w:r>
        <w:t>contract or agreement</w:t>
      </w:r>
    </w:p>
    <w:p>
      <w:pPr>
        <w:pStyle w:val="ListBullet"/>
      </w:pPr>
      <w:r>
        <w:t>Mechanisms exist to retrieve organization-owned assets upon termination of an individual's employment</w:t>
      </w:r>
    </w:p>
    <w:p>
      <w:pPr>
        <w:pStyle w:val="Heading3"/>
      </w:pPr>
      <w:r>
        <w:t>Evidence Strings</w:t>
      </w:r>
    </w:p>
    <w:p>
      <w:pPr>
        <w:pStyle w:val="ListBullet"/>
      </w:pPr>
      <w:r>
        <w:t>Evidence\PS\DisabledAccountsEntra.jpg</w:t>
      </w:r>
    </w:p>
    <w:p>
      <w:pPr>
        <w:pStyle w:val="ListBullet"/>
      </w:pPr>
      <w:r>
        <w:t>Evidence\PS\Security of Controlled Unclassified Information (CUI).docx</w:t>
      </w:r>
    </w:p>
    <w:p>
      <w:pPr>
        <w:pStyle w:val="ListBullet"/>
      </w:pPr>
      <w:r>
        <w:t>Evidence\PS\DNA-STD-00002.docx</w:t>
      </w:r>
    </w:p>
    <w:p>
      <w:pPr>
        <w:pStyle w:val="ListBullet"/>
      </w:pPr>
      <w:r>
        <w:t>Evidence\PS\Physical Access Control Policy for CUI and AWL Office Spaces.docx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