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00"/>
      </w:pPr>
      <w:r>
        <w:rPr>
          <w:rFonts w:ascii="Calibri" w:cs="Calibri" w:eastAsia="Calibri" w:hAnsi="Calibri"/>
          <w:b/>
          <w:bCs/>
          <w:color w:val="1F3864"/>
          <w:sz w:val="40"/>
          <w:szCs w:val="40"/>
        </w:rPr>
        <w:t xml:space="preserve">Checklist de Revisação de Testes</w:t>
      </w:r>
    </w:p>
    <w:p>
      <w:pPr>
        <w:spacing w:after="60" w:before="0"/>
      </w:pPr>
      <w:r>
        <w:rPr>
          <w:rFonts w:ascii="Calibri" w:cs="Calibri" w:eastAsia="Calibri" w:hAnsi="Calibri"/>
          <w:b/>
          <w:bCs/>
          <w:color w:val="444444"/>
          <w:sz w:val="28"/>
          <w:szCs w:val="28"/>
        </w:rPr>
        <w:t xml:space="preserve">NovaTech Assistant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Estimativa: ~90 segundos por teste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CCDDFF"/>
                <w:sz w:val="20"/>
                <w:szCs w:val="20"/>
              </w:rPr>
              <w:t xml:space="preserve">Uso: QA revisa cada teste gerado por IA antes do merge</w:t>
            </w:r>
          </w:p>
        </w:tc>
      </w:tr>
    </w:tbl>
    <w:p>
      <w:pPr>
        <w:spacing w:after="0" w:before="3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F3864" w:sz="8"/>
              <w:left w:val="single" w:color="1F3864" w:sz="8"/>
              <w:bottom w:val="single" w:color="1F3864" w:sz="8"/>
              <w:right w:val="none" w:color="FFFFFF" w:sz="0"/>
            </w:tcBorders>
            <w:shd w:fill="EBF0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4"/>
                <w:szCs w:val="24"/>
              </w:rPr>
              <w:t xml:space="preserve">BLOCO 1 — Nomenclatura</w:t>
            </w:r>
            <w:r>
              <w:rPr>
                <w:rFonts w:ascii="Calibri" w:cs="Calibri" w:eastAsia="Calibri" w:hAnsi="Calibri"/>
                <w:i/>
                <w:iCs/>
                <w:color w:val="666666"/>
                <w:sz w:val="20"/>
                <w:szCs w:val="20"/>
              </w:rPr>
              <w:t xml:space="preserve">  —  20 segundos</w:t>
            </w:r>
          </w:p>
        </w:tc>
      </w:tr>
    </w:tbl>
    <w:p>
      <w:pPr>
        <w:spacing w:after="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546"/>
      </w:tblGrid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555555"/>
                <w:sz w:val="28"/>
                <w:szCs w:val="28"/>
              </w:rPr>
              <w:t xml:space="preserve">☐</w:t>
            </w:r>
          </w:p>
        </w:tc>
        <w:tc>
          <w:tcPr>
            <w:tcW w:type="dxa" w:w="854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O </w:t>
            </w:r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describe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usa o nome do módulo/handler (ex: </w:t>
            </w:r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QueryHandler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FeedbackHandler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)?</w:t>
            </w:r>
          </w:p>
        </w:tc>
      </w:tr>
    </w:tbl>
    <w:p>
      <w:pPr>
        <w:spacing w:after="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546"/>
      </w:tblGrid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555555"/>
                <w:sz w:val="28"/>
                <w:szCs w:val="28"/>
              </w:rPr>
              <w:t xml:space="preserve">☐</w:t>
            </w:r>
          </w:p>
        </w:tc>
        <w:tc>
          <w:tcPr>
            <w:tcW w:type="dxa" w:w="854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O </w:t>
            </w:r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it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começa com </w:t>
            </w:r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'should'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e descreve comportamento + condição?</w:t>
            </w:r>
          </w:p>
        </w:tc>
      </w:tr>
    </w:tbl>
    <w:p>
      <w:pPr>
        <w:spacing w:after="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546"/>
      </w:tblGrid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555555"/>
                <w:sz w:val="28"/>
                <w:szCs w:val="28"/>
              </w:rPr>
              <w:t xml:space="preserve">☐</w:t>
            </w:r>
          </w:p>
        </w:tc>
        <w:tc>
          <w:tcPr>
            <w:tcW w:type="dxa" w:w="854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Nenhum nome genérico como </w:t>
            </w:r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'works'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'test'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'funciona'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?</w:t>
            </w:r>
          </w:p>
        </w:tc>
      </w:tr>
    </w:tbl>
    <w:p>
      <w:pPr>
        <w:spacing w:after="0" w:before="60"/>
      </w:pPr>
    </w:p>
    <w:p>
      <w:pPr>
        <w:spacing w:after="0" w:before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5FA3" w:sz="8"/>
              <w:left w:val="single" w:color="2E5FA3" w:sz="8"/>
              <w:bottom w:val="single" w:color="2E5FA3" w:sz="8"/>
              <w:right w:val="none" w:color="FFFFFF" w:sz="0"/>
            </w:tcBorders>
            <w:shd w:fill="EBF0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5FA3"/>
                <w:sz w:val="24"/>
                <w:szCs w:val="24"/>
              </w:rPr>
              <w:t xml:space="preserve">BLOCO 2 — Estrutura</w:t>
            </w:r>
            <w:r>
              <w:rPr>
                <w:rFonts w:ascii="Calibri" w:cs="Calibri" w:eastAsia="Calibri" w:hAnsi="Calibri"/>
                <w:i/>
                <w:iCs/>
                <w:color w:val="666666"/>
                <w:sz w:val="20"/>
                <w:szCs w:val="20"/>
              </w:rPr>
              <w:t xml:space="preserve">  —  20 segundos</w:t>
            </w:r>
          </w:p>
        </w:tc>
      </w:tr>
    </w:tbl>
    <w:p>
      <w:pPr>
        <w:spacing w:after="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546"/>
      </w:tblGrid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555555"/>
                <w:sz w:val="28"/>
                <w:szCs w:val="28"/>
              </w:rPr>
              <w:t xml:space="preserve">☐</w:t>
            </w:r>
          </w:p>
        </w:tc>
        <w:tc>
          <w:tcPr>
            <w:tcW w:type="dxa" w:w="854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Os comentários </w:t>
            </w:r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// Arrange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// Act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// Assert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estão presentes?</w:t>
            </w:r>
          </w:p>
        </w:tc>
      </w:tr>
    </w:tbl>
    <w:p>
      <w:pPr>
        <w:spacing w:after="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546"/>
      </w:tblGrid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555555"/>
                <w:sz w:val="28"/>
                <w:szCs w:val="28"/>
              </w:rPr>
              <w:t xml:space="preserve">☐</w:t>
            </w:r>
          </w:p>
        </w:tc>
        <w:tc>
          <w:tcPr>
            <w:tcW w:type="dxa" w:w="854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O bloco </w:t>
            </w:r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// Assert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tem ao menos uma assertion sobre conteúdo concreto (campo, valor, regex)?</w:t>
            </w:r>
          </w:p>
        </w:tc>
      </w:tr>
    </w:tbl>
    <w:p>
      <w:pPr>
        <w:spacing w:after="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546"/>
      </w:tblGrid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555555"/>
                <w:sz w:val="28"/>
                <w:szCs w:val="28"/>
              </w:rPr>
              <w:t xml:space="preserve">☐</w:t>
            </w:r>
          </w:p>
        </w:tc>
        <w:tc>
          <w:tcPr>
            <w:tcW w:type="dxa" w:w="854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toBeDefined()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NÃO é a única assertion?</w:t>
            </w:r>
          </w:p>
        </w:tc>
      </w:tr>
    </w:tbl>
    <w:p>
      <w:pPr>
        <w:spacing w:after="0" w:before="60"/>
      </w:pPr>
    </w:p>
    <w:p>
      <w:pPr>
        <w:spacing w:after="0" w:before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96F3D" w:sz="8"/>
              <w:left w:val="single" w:color="196F3D" w:sz="8"/>
              <w:bottom w:val="single" w:color="196F3D" w:sz="8"/>
              <w:right w:val="none" w:color="FFFFFF" w:sz="0"/>
            </w:tcBorders>
            <w:shd w:fill="E9F7E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96F3D"/>
                <w:sz w:val="24"/>
                <w:szCs w:val="24"/>
              </w:rPr>
              <w:t xml:space="preserve">BLOCO 3 — Dados de Teste</w:t>
            </w:r>
            <w:r>
              <w:rPr>
                <w:rFonts w:ascii="Calibri" w:cs="Calibri" w:eastAsia="Calibri" w:hAnsi="Calibri"/>
                <w:i/>
                <w:iCs/>
                <w:color w:val="666666"/>
                <w:sz w:val="20"/>
                <w:szCs w:val="20"/>
              </w:rPr>
              <w:t xml:space="preserve">  —  20 segundos</w:t>
            </w:r>
          </w:p>
        </w:tc>
      </w:tr>
    </w:tbl>
    <w:p>
      <w:pPr>
        <w:spacing w:after="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546"/>
      </w:tblGrid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9F7EF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555555"/>
                <w:sz w:val="28"/>
                <w:szCs w:val="28"/>
              </w:rPr>
              <w:t xml:space="preserve">☐</w:t>
            </w:r>
          </w:p>
        </w:tc>
        <w:tc>
          <w:tcPr>
            <w:tcW w:type="dxa" w:w="854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 pergunta no </w:t>
            </w:r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// Arrange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é do domínio NovaTech (carga perigosa, SLA Gold, frete, devolução)?</w:t>
            </w:r>
          </w:p>
        </w:tc>
      </w:tr>
    </w:tbl>
    <w:p>
      <w:pPr>
        <w:spacing w:after="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546"/>
      </w:tblGrid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9F7EF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555555"/>
                <w:sz w:val="28"/>
                <w:szCs w:val="28"/>
              </w:rPr>
              <w:t xml:space="preserve">☐</w:t>
            </w:r>
          </w:p>
        </w:tc>
        <w:tc>
          <w:tcPr>
            <w:tcW w:type="dxa" w:w="854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Os chunks no mock são os corretos para o cenário (ex: </w:t>
            </w:r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chunks.pol001B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para carga perigosa)?</w:t>
            </w:r>
          </w:p>
        </w:tc>
      </w:tr>
    </w:tbl>
    <w:p>
      <w:pPr>
        <w:spacing w:after="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546"/>
      </w:tblGrid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9F7EF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555555"/>
                <w:sz w:val="28"/>
                <w:szCs w:val="28"/>
              </w:rPr>
              <w:t xml:space="preserve">☐</w:t>
            </w:r>
          </w:p>
        </w:tc>
        <w:tc>
          <w:tcPr>
            <w:tcW w:type="dxa" w:w="854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Nenhum dado genérico como </w:t>
            </w:r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"test"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"hello"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"anything"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?</w:t>
            </w:r>
          </w:p>
        </w:tc>
      </w:tr>
    </w:tbl>
    <w:p>
      <w:pPr>
        <w:spacing w:after="0" w:before="60"/>
      </w:pPr>
    </w:p>
    <w:p>
      <w:pPr>
        <w:spacing w:after="0" w:before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7B2D8B" w:sz="8"/>
              <w:left w:val="single" w:color="7B2D8B" w:sz="8"/>
              <w:bottom w:val="single" w:color="7B2D8B" w:sz="8"/>
              <w:right w:val="none" w:color="FFFFFF" w:sz="0"/>
            </w:tcBorders>
            <w:shd w:fill="F5EE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B2D8B"/>
                <w:sz w:val="24"/>
                <w:szCs w:val="24"/>
              </w:rPr>
              <w:t xml:space="preserve">BLOCO 4 — Mocking</w:t>
            </w:r>
            <w:r>
              <w:rPr>
                <w:rFonts w:ascii="Calibri" w:cs="Calibri" w:eastAsia="Calibri" w:hAnsi="Calibri"/>
                <w:i/>
                <w:iCs/>
                <w:color w:val="666666"/>
                <w:sz w:val="20"/>
                <w:szCs w:val="20"/>
              </w:rPr>
              <w:t xml:space="preserve">  —  20 segundos</w:t>
            </w:r>
          </w:p>
        </w:tc>
      </w:tr>
    </w:tbl>
    <w:p>
      <w:pPr>
        <w:spacing w:after="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546"/>
      </w:tblGrid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EF8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555555"/>
                <w:sz w:val="28"/>
                <w:szCs w:val="28"/>
              </w:rPr>
              <w:t xml:space="preserve">☐</w:t>
            </w:r>
          </w:p>
        </w:tc>
        <w:tc>
          <w:tcPr>
            <w:tcW w:type="dxa" w:w="854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msw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está configurado com </w:t>
            </w:r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setupServer()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beforeAll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afterEach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afterAll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?</w:t>
            </w:r>
          </w:p>
        </w:tc>
      </w:tr>
    </w:tbl>
    <w:p>
      <w:pPr>
        <w:spacing w:after="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546"/>
      </w:tblGrid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EF8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555555"/>
                <w:sz w:val="28"/>
                <w:szCs w:val="28"/>
              </w:rPr>
              <w:t xml:space="preserve">☐</w:t>
            </w:r>
          </w:p>
        </w:tc>
        <w:tc>
          <w:tcPr>
            <w:tcW w:type="dxa" w:w="854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onUnhandledRequest: 'error'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está configurado no </w:t>
            </w:r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setupServer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?</w:t>
            </w:r>
          </w:p>
        </w:tc>
      </w:tr>
    </w:tbl>
    <w:p>
      <w:pPr>
        <w:spacing w:after="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546"/>
      </w:tblGrid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EF8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555555"/>
                <w:sz w:val="28"/>
                <w:szCs w:val="28"/>
              </w:rPr>
              <w:t xml:space="preserve">☐</w:t>
            </w:r>
          </w:p>
        </w:tc>
        <w:tc>
          <w:tcPr>
            <w:tcW w:type="dxa" w:w="854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Nenhum </w:t>
            </w:r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vi.spyOn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em módulo interno como principal mecanismo de validação?</w:t>
            </w:r>
          </w:p>
        </w:tc>
      </w:tr>
    </w:tbl>
    <w:p>
      <w:pPr>
        <w:spacing w:after="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546"/>
      </w:tblGrid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EF8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555555"/>
                <w:sz w:val="28"/>
                <w:szCs w:val="28"/>
              </w:rPr>
              <w:t xml:space="preserve">☐</w:t>
            </w:r>
          </w:p>
        </w:tc>
        <w:tc>
          <w:tcPr>
            <w:tcW w:type="dxa" w:w="854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Nenhuma chamada real a </w:t>
            </w:r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process.env.AZURE_*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sem mock?</w:t>
            </w:r>
          </w:p>
        </w:tc>
      </w:tr>
    </w:tbl>
    <w:p>
      <w:pPr>
        <w:spacing w:after="0" w:before="60"/>
      </w:pPr>
    </w:p>
    <w:p>
      <w:pPr>
        <w:spacing w:after="0" w:before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0392B" w:sz="8"/>
              <w:left w:val="single" w:color="C0392B" w:sz="8"/>
              <w:bottom w:val="single" w:color="C0392B" w:sz="8"/>
              <w:right w:val="none" w:color="FFFFFF" w:sz="0"/>
            </w:tcBorders>
            <w:shd w:fill="FDEDE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0392B"/>
                <w:sz w:val="24"/>
                <w:szCs w:val="24"/>
              </w:rPr>
              <w:t xml:space="preserve">BLOCO 5 — Guardrails do domínio</w:t>
            </w:r>
            <w:r>
              <w:rPr>
                <w:rFonts w:ascii="Calibri" w:cs="Calibri" w:eastAsia="Calibri" w:hAnsi="Calibri"/>
                <w:i/>
                <w:iCs/>
                <w:color w:val="666666"/>
                <w:sz w:val="20"/>
                <w:szCs w:val="20"/>
              </w:rPr>
              <w:t xml:space="preserve">  —  10 segundos — apenas para testes de VC-03</w:t>
            </w:r>
          </w:p>
        </w:tc>
      </w:tr>
    </w:tbl>
    <w:p>
      <w:pPr>
        <w:spacing w:after="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546"/>
      </w:tblGrid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555555"/>
                <w:sz w:val="28"/>
                <w:szCs w:val="28"/>
              </w:rPr>
              <w:t xml:space="preserve">☐</w:t>
            </w:r>
          </w:p>
        </w:tc>
        <w:tc>
          <w:tcPr>
            <w:tcW w:type="dxa" w:w="854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Testes de carga perigosa + devolução verificam que </w:t>
            </w:r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"7 dias úteis"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NÃO aparece na resposta?</w:t>
            </w:r>
          </w:p>
        </w:tc>
      </w:tr>
    </w:tbl>
    <w:p>
      <w:pPr>
        <w:spacing w:after="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546"/>
      </w:tblGrid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555555"/>
                <w:sz w:val="28"/>
                <w:szCs w:val="28"/>
              </w:rPr>
              <w:t xml:space="preserve">☐</w:t>
            </w:r>
          </w:p>
        </w:tc>
        <w:tc>
          <w:tcPr>
            <w:tcW w:type="dxa" w:w="854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Testes de tier inexistente verificam que SLAs inventados NÃO aparecem?</w:t>
            </w:r>
          </w:p>
        </w:tc>
      </w:tr>
    </w:tbl>
    <w:p>
      <w:pPr>
        <w:spacing w:after="0" w:before="60"/>
      </w:pPr>
    </w:p>
    <w:p>
      <w:pPr>
        <w:spacing w:after="0" w:before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0392B" w:sz="6"/>
              <w:left w:val="single" w:color="C0392B" w:sz="24"/>
              <w:bottom w:val="single" w:color="C0392B" w:sz="6"/>
              <w:right w:val="none" w:color="FFFFFF" w:sz="0"/>
            </w:tcBorders>
            <w:shd w:fill="FDEDEC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0392B"/>
                <w:sz w:val="20"/>
                <w:szCs w:val="20"/>
              </w:rPr>
              <w:t xml:space="preserve">❌  Resultado: </w:t>
            </w:r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>Se algum item estiver marcado como ❌, o teste retorna para reescrita antes do merge.</w:t>
            </w:r>
          </w:p>
        </w:tc>
      </w:tr>
    </w:tbl>
    <w:p>
      <w:pPr>
        <w:spacing w:after="0" w:before="240"/>
      </w:pPr>
    </w:p>
    <w:p>
      <w:pPr>
        <w:jc w:val="center"/>
      </w:pPr>
      <w:r>
        <w:rPr>
          <w:rFonts w:ascii="Calibri" w:cs="Calibri" w:eastAsia="Calibri" w:hAnsi="Calibri"/>
          <w:i/>
          <w:iCs/>
          <w:color w:val="AAAAAA"/>
          <w:sz w:val="16"/>
          <w:szCs w:val="16"/>
        </w:rPr>
        <w:t xml:space="preserve">Versão: 1.0   |   Data: 2026-06-28   |   Artefato: exercicio-2.3-skill-create-integration-test.md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3864" w:sz="6" w:space="1"/>
      </w:pBdr>
    </w:pPr>
    <w:r>
      <w:rPr>
        <w:rFonts w:ascii="Calibri" w:cs="Calibri" w:eastAsia="Calibri" w:hAnsi="Calibri"/>
        <w:color w:val="888888"/>
        <w:sz w:val="16"/>
        <w:szCs w:val="16"/>
      </w:rPr>
      <w:t xml:space="preserve">Confidencial — DB1 Group / NovaTech   |   Página </w:t>
    </w:r>
    <w:r>
      <w:rPr>
        <w:rFonts w:ascii="Calibri" w:cs="Calibri" w:eastAsia="Calibri" w:hAnsi="Calibri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3864" w:sz="6" w:space="1"/>
      </w:pBdr>
    </w:pPr>
    <w:r>
      <w:rPr>
        <w:rFonts w:ascii="Calibri" w:cs="Calibri" w:eastAsia="Calibri" w:hAnsi="Calibri"/>
        <w:b/>
        <w:bCs/>
        <w:color w:val="1F3864"/>
        <w:sz w:val="20"/>
        <w:szCs w:val="20"/>
      </w:rPr>
      <w:t xml:space="preserve">Checklist de Revisão de Testes — NovaTech Assistant</w:t>
    </w:r>
    <w:r>
      <w:rPr>
        <w:rFonts w:ascii="Calibri" w:cs="Calibri" w:eastAsia="Calibri" w:hAnsi="Calibri"/>
        <w:color w:val="888888"/>
        <w:sz w:val="18"/>
        <w:szCs w:val="18"/>
      </w:rPr>
      <w:t xml:space="preserve">   |   QA — Cenário 2   |   Exercício 2.3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2026-06-28T20:23:03.074Z</dcterms:created>
  <dcterms:modified xsi:type="dcterms:W3CDTF">2026-06-28T20:23:03.074Z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