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79485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20:24</w:t>
      </w:r>
    </w:p>
    <w:p w14:paraId="3DE09B27">
      <w:pPr>
        <w:keepNext w:val="0"/>
        <w:keepLines w:val="0"/>
        <w:widowControl/>
        <w:suppressLineNumbers w:val="0"/>
        <w:jc w:val="left"/>
      </w:pPr>
      <w:r>
        <w:rPr>
          <w:rFonts w:ascii="Anthropicons-Variable)" w:hAnsi="Anthropicons-Variable)" w:eastAsia="Anthropicons-Variable)" w:cs="Anthropicons-Variable)"/>
          <w:i w:val="0"/>
          <w:iCs w:val="0"/>
          <w:kern w:val="0"/>
          <w:sz w:val="24"/>
          <w:szCs w:val="24"/>
          <w:lang w:val="en-US" w:eastAsia="zh-CN" w:bidi="ar"/>
        </w:rPr>
        <w:t></w:t>
      </w:r>
      <w:r>
        <w:rPr>
          <w:rFonts w:hint="default" w:ascii="Anthropicons-Variable)" w:hAnsi="Anthropicons-Variable)" w:eastAsia="Anthropicons-Variable)" w:cs="Anthropicons-Variable)"/>
          <w:i w:val="0"/>
          <w:iCs w:val="0"/>
          <w:kern w:val="0"/>
          <w:sz w:val="24"/>
          <w:szCs w:val="24"/>
          <w:lang w:val="en-US" w:eastAsia="zh-CN" w:bidi="ar"/>
        </w:rPr>
        <w:t></w:t>
      </w:r>
    </w:p>
    <w:p w14:paraId="5987D8FD">
      <w:pPr>
        <w:keepNext w:val="0"/>
        <w:keepLines w:val="0"/>
        <w:widowControl/>
        <w:suppressLineNumbers w:val="0"/>
        <w:jc w:val="left"/>
      </w:pPr>
      <w:r>
        <w:rPr>
          <w:rFonts w:hint="default" w:ascii="Anthropicons-Variable)" w:hAnsi="Anthropicons-Variable)" w:eastAsia="Anthropicons-Variable)" w:cs="Anthropicons-Variable)"/>
          <w:i w:val="0"/>
          <w:iCs w:val="0"/>
          <w:kern w:val="0"/>
          <w:sz w:val="24"/>
          <w:szCs w:val="24"/>
          <w:lang w:val="en-US" w:eastAsia="zh-CN" w:bidi="ar"/>
        </w:rPr>
        <w:t></w:t>
      </w:r>
    </w:p>
    <w:p w14:paraId="5D4EF4CF">
      <w:pPr>
        <w:pStyle w:val="2"/>
        <w:keepNext w:val="0"/>
        <w:keepLines w:val="0"/>
        <w:widowControl/>
        <w:suppressLineNumbers w:val="0"/>
      </w:pPr>
      <w:r>
        <w:t>Claude respondeu: Perfeito!</w:t>
      </w:r>
    </w:p>
    <w:p w14:paraId="27208D6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Perfeito! Vamos gerar o </w:t>
      </w:r>
      <w:r>
        <w:rPr>
          <w:rStyle w:val="8"/>
        </w:rPr>
        <w:t>application.yaml</w:t>
      </w:r>
      <w:r>
        <w:t xml:space="preserve"> do </w:t>
      </w:r>
      <w:r>
        <w:rPr>
          <w:rStyle w:val="8"/>
        </w:rPr>
        <w:t>ms-usuarios</w:t>
      </w:r>
      <w:r>
        <w:t>.</w:t>
      </w:r>
    </w:p>
    <w:p w14:paraId="7B94D49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Criou um arquivo, leu um arquivo</w:t>
      </w:r>
    </w:p>
    <w:p w14:paraId="123261C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Criou um arquivo, leu um arquivo</w:t>
      </w:r>
    </w:p>
    <w:p w14:paraId="5A174933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Agora deixa eu te explicar </w:t>
      </w:r>
      <w:r>
        <w:rPr>
          <w:rStyle w:val="7"/>
        </w:rPr>
        <w:t>cada bloco</w:t>
      </w:r>
      <w:r>
        <w:t>:</w:t>
      </w:r>
    </w:p>
    <w:p w14:paraId="51ACE8C6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B591C2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server.port: 8081</w:t>
      </w:r>
    </w:p>
    <w:p w14:paraId="159AE2DC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Define a porta onde o </w:t>
      </w:r>
      <w:r>
        <w:rPr>
          <w:rStyle w:val="8"/>
        </w:rPr>
        <w:t>ms-usuarios</w:t>
      </w:r>
      <w:r>
        <w:t xml:space="preserve"> vai rodar. Cada microsserviço tem a sua.</w:t>
      </w:r>
    </w:p>
    <w:p w14:paraId="030B7674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0A45FE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spring.application.name</w:t>
      </w:r>
    </w:p>
    <w:p w14:paraId="2D415F7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Nome do serviço. Usado nos logs e futuramente no Service Discovery.</w:t>
      </w:r>
    </w:p>
    <w:p w14:paraId="757B55D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41AB81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spring.datasource</w:t>
      </w:r>
    </w:p>
    <w:p w14:paraId="57D27D2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Conexão com o PostgreSQL. Três pontos importantes:</w:t>
      </w:r>
    </w:p>
    <w:p w14:paraId="1EDD9A9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url</w:t>
      </w:r>
      <w:r>
        <w:t xml:space="preserve"> — endereço do banco </w:t>
      </w:r>
      <w:r>
        <w:rPr>
          <w:rStyle w:val="8"/>
        </w:rPr>
        <w:t>CF_usuarios</w:t>
      </w:r>
    </w:p>
    <w:p w14:paraId="63B1734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driver-class-name</w:t>
      </w:r>
      <w:r>
        <w:t xml:space="preserve"> — diz ao Spring que o banco é PostgreSQL</w:t>
      </w:r>
    </w:p>
    <w:p w14:paraId="4823566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password</w:t>
      </w:r>
      <w:r>
        <w:t xml:space="preserve"> — sua senha local</w:t>
      </w:r>
    </w:p>
    <w:p w14:paraId="63615099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D155E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spring.jpa</w:t>
      </w:r>
    </w:p>
    <w:p w14:paraId="659067F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ddl-auto: validate</w:t>
      </w:r>
      <w:r>
        <w:t xml:space="preserve"> — o Hibernate </w:t>
      </w:r>
      <w:r>
        <w:rPr>
          <w:rStyle w:val="7"/>
        </w:rPr>
        <w:t>valida</w:t>
      </w:r>
      <w:r>
        <w:t xml:space="preserve"> se as tabelas existem, mas </w:t>
      </w:r>
      <w:r>
        <w:rPr>
          <w:rStyle w:val="7"/>
        </w:rPr>
        <w:t>não cria nem altera</w:t>
      </w:r>
      <w:r>
        <w:t xml:space="preserve"> nada. É a configuração mais segura para produção. Nós vamos criar as tabelas manualmente com scripts SQL.</w:t>
      </w:r>
    </w:p>
    <w:p w14:paraId="5BDFCFA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show-sql: true</w:t>
      </w:r>
      <w:r>
        <w:t xml:space="preserve"> — mostra as queries no console, ótimo para debug</w:t>
      </w:r>
    </w:p>
    <w:p w14:paraId="273A6A6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format_sql: true</w:t>
      </w:r>
      <w:r>
        <w:t xml:space="preserve"> — formata as queries para ficarem legíveis</w:t>
      </w:r>
    </w:p>
    <w:p w14:paraId="68CADDE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F7E2EC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jwt</w:t>
      </w:r>
    </w:p>
    <w:p w14:paraId="6634FEE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secret</w:t>
      </w:r>
      <w:r>
        <w:t xml:space="preserve"> — chave usada para assinar o token. Em produção vai para variável de ambiente.</w:t>
      </w:r>
    </w:p>
    <w:p w14:paraId="362D38B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expiration: 86400000</w:t>
      </w:r>
      <w:r>
        <w:t xml:space="preserve"> — tempo de expiração em milissegundos = </w:t>
      </w:r>
      <w:r>
        <w:rPr>
          <w:rStyle w:val="7"/>
        </w:rPr>
        <w:t>24 horas</w:t>
      </w:r>
    </w:p>
    <w:p w14:paraId="71D39831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214E12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springdoc</w:t>
      </w:r>
    </w:p>
    <w:p w14:paraId="146D99A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Configura o Swagger. Após subir o serviço, acesse: </w:t>
      </w:r>
      <w:r>
        <w:rPr>
          <w:rStyle w:val="8"/>
        </w:rPr>
        <w:t>http://localhost:8081/swagger-ui.html</w:t>
      </w:r>
    </w:p>
    <w:p w14:paraId="2F4A7AB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9157A6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logging</w:t>
      </w:r>
    </w:p>
    <w:p w14:paraId="3B883B6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root: INFO</w:t>
      </w:r>
      <w:r>
        <w:t xml:space="preserve"> — log padrão do sistema</w:t>
      </w:r>
    </w:p>
    <w:p w14:paraId="1CD4119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com.financeiro: DEBUG</w:t>
      </w:r>
      <w:r>
        <w:t xml:space="preserve"> — log detalhado só do seu código</w:t>
      </w:r>
    </w:p>
    <w:p w14:paraId="095FDB37"/>
    <w:p w14:paraId="47ADD2D6">
      <w:pPr>
        <w:pStyle w:val="3"/>
        <w:keepNext w:val="0"/>
        <w:keepLines w:val="0"/>
        <w:widowControl/>
        <w:suppressLineNumbers w:val="0"/>
      </w:pPr>
      <w:r>
        <w:t xml:space="preserve">🗂️ Estrutura de Pastas do </w:t>
      </w:r>
      <w:r>
        <w:rPr>
          <w:rStyle w:val="8"/>
        </w:rPr>
        <w:t>ms-usuarios</w:t>
      </w:r>
    </w:p>
    <w:p w14:paraId="4B3E4DA9">
      <w:pPr>
        <w:pStyle w:val="4"/>
        <w:keepNext w:val="0"/>
        <w:keepLines w:val="0"/>
        <w:widowControl/>
        <w:suppressLineNumbers w:val="0"/>
      </w:pPr>
      <w:r>
        <w:t>Conceito — Por que organização importa?</w:t>
      </w:r>
    </w:p>
    <w:p w14:paraId="78A9661B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No Mercado Livre e em qualquer empresa grande, vários devs trabalham no mesmo projeto. Uma estrutura bem definida garante que qualquer pessoa consiga entender onde está cada coisa sem precisar perguntar.</w:t>
      </w:r>
    </w:p>
    <w:p w14:paraId="6B0BED1C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CF5CBB">
      <w:pPr>
        <w:pStyle w:val="4"/>
        <w:keepNext w:val="0"/>
        <w:keepLines w:val="0"/>
        <w:widowControl/>
        <w:suppressLineNumbers w:val="0"/>
      </w:pPr>
      <w:r>
        <w:t>O padrão que vamos usar — Arquitetura em Camadas</w:t>
      </w:r>
    </w:p>
    <w:p w14:paraId="62CDACB2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color w:val="auto"/>
        </w:rPr>
      </w:pPr>
      <w:r>
        <w:rPr>
          <w:color w:val="auto"/>
        </w:rPr>
        <w:t xml:space="preserve">É o padrão mais usado com Spring Boot. Cada camada tem uma </w:t>
      </w:r>
      <w:r>
        <w:rPr>
          <w:rStyle w:val="7"/>
          <w:color w:val="auto"/>
        </w:rPr>
        <w:t>responsabilidade única</w:t>
      </w:r>
      <w:r>
        <w:rPr>
          <w:color w:val="auto"/>
        </w:rPr>
        <w:t>:</w:t>
      </w:r>
    </w:p>
    <w:p w14:paraId="42759AF3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color w:val="auto"/>
        </w:rPr>
      </w:pPr>
      <w:r>
        <w:drawing>
          <wp:inline distT="0" distB="0" distL="114300" distR="114300">
            <wp:extent cx="4617720" cy="1089660"/>
            <wp:effectExtent l="0" t="0" r="0" b="7620"/>
            <wp:docPr id="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9F0363A">
      <w:pPr>
        <w:pStyle w:val="4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Por que DTO?</w:t>
      </w:r>
    </w:p>
    <w:p w14:paraId="3C175B5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Ótima prática que o Mercado Livre valoriza. Imagine que sua tabela </w:t>
      </w:r>
      <w:r>
        <w:rPr>
          <w:rStyle w:val="8"/>
        </w:rPr>
        <w:t>usuarios</w:t>
      </w:r>
      <w:r>
        <w:t xml:space="preserve"> tem o campo </w:t>
      </w:r>
      <w:r>
        <w:rPr>
          <w:rStyle w:val="8"/>
        </w:rPr>
        <w:t>senha</w:t>
      </w:r>
      <w:r>
        <w:t xml:space="preserve">. Você </w:t>
      </w:r>
      <w:r>
        <w:rPr>
          <w:rStyle w:val="7"/>
        </w:rPr>
        <w:t>nunca</w:t>
      </w:r>
      <w:r>
        <w:t xml:space="preserve"> quer devolver a senha numa resposta HTTP. O DTO é um objeto separado que define </w:t>
      </w:r>
      <w:r>
        <w:rPr>
          <w:rStyle w:val="7"/>
        </w:rPr>
        <w:t>exatamente</w:t>
      </w:r>
      <w:r>
        <w:t xml:space="preserve"> o que entra e o que sai da API.</w:t>
      </w:r>
    </w:p>
    <w:p w14:paraId="2D043013">
      <w:pPr>
        <w:pStyle w:val="10"/>
        <w:keepNext w:val="0"/>
        <w:keepLines w:val="0"/>
        <w:widowControl/>
        <w:suppressLineNumbers w:val="0"/>
        <w:rPr>
          <w:rFonts w:hint="default" w:ascii="var(--font-mono)" w:hAnsi="var(--font-mono)" w:eastAsia="var(--font-mono)" w:cs="var(--font-mono)"/>
          <w:color w:val="EAECF0"/>
        </w:rPr>
      </w:pPr>
      <w:r>
        <w:rPr>
          <w:rStyle w:val="8"/>
          <w:rFonts w:hint="default" w:ascii="var(--font-mono)" w:hAnsi="var(--font-mono)" w:eastAsia="var(--font-mono)" w:cs="var(--font-mono)"/>
          <w:color w:val="EAECF0"/>
        </w:rPr>
        <w:t>Requisição HTTP  →  DTO de entrada  →  Entity  →  BancoBanco  →  Entity  →  DTO de saída  →  Resposta HTTP</w:t>
      </w:r>
    </w:p>
    <w:p w14:paraId="458B6C9C">
      <w:pPr>
        <w:keepNext w:val="0"/>
        <w:keepLines w:val="0"/>
        <w:widowControl/>
        <w:suppressLineNumbers w:val="0"/>
      </w:pPr>
      <w:r>
        <w:rPr>
          <w:rFonts w:hint="default" w:ascii="var(--font-mono)" w:hAnsi="var(--font-mono)" w:eastAsia="var(--font-mono)" w:cs="var(--font-mono)"/>
          <w:color w:val="EAECF0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3E47BA">
      <w:pPr>
        <w:pStyle w:val="4"/>
        <w:keepNext w:val="0"/>
        <w:keepLines w:val="0"/>
        <w:widowControl/>
        <w:suppressLineNumbers w:val="0"/>
      </w:pPr>
      <w:r>
        <w:t>Estrutura completa</w:t>
      </w:r>
    </w:p>
    <w:p w14:paraId="5CA4E77D"/>
    <w:p w14:paraId="4A270861">
      <w:r>
        <w:drawing>
          <wp:inline distT="0" distB="0" distL="114300" distR="114300">
            <wp:extent cx="4991100" cy="6042660"/>
            <wp:effectExtent l="0" t="0" r="7620" b="7620"/>
            <wp:docPr id="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04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EB250">
      <w:pPr>
        <w:keepNext w:val="0"/>
        <w:keepLines w:val="0"/>
        <w:widowControl/>
        <w:suppressLineNumbers w:val="0"/>
      </w:pPr>
      <w:r>
        <w:rPr>
          <w:rFonts w:hint="default" w:ascii="var(--font-mono)" w:hAnsi="var(--font-mono)" w:eastAsia="var(--font-mono)" w:cs="var(--font-mono)"/>
          <w:color w:val="EAECF0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3D2784">
      <w:pPr>
        <w:pStyle w:val="4"/>
        <w:keepNext w:val="0"/>
        <w:keepLines w:val="0"/>
        <w:widowControl/>
        <w:suppressLineNumbers w:val="0"/>
      </w:pPr>
      <w:r>
        <w:t>O que cada pacote faz: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4875"/>
      </w:tblGrid>
      <w:tr w14:paraId="78EB2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F98A5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Pacote</w:t>
            </w:r>
          </w:p>
        </w:tc>
        <w:tc>
          <w:tcPr>
            <w:tcW w:w="0" w:type="auto"/>
            <w:shd w:val="clear"/>
            <w:vAlign w:val="center"/>
          </w:tcPr>
          <w:p w14:paraId="6E925D8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Responsabilidade</w:t>
            </w:r>
          </w:p>
        </w:tc>
      </w:tr>
      <w:tr w14:paraId="4CE1BD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A3AF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controller</w:t>
            </w:r>
          </w:p>
        </w:tc>
        <w:tc>
          <w:tcPr>
            <w:tcW w:w="0" w:type="auto"/>
            <w:shd w:val="clear"/>
            <w:vAlign w:val="center"/>
          </w:tcPr>
          <w:p w14:paraId="0593A4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Recebe requisições HTTP, chama o Service</w:t>
            </w:r>
          </w:p>
        </w:tc>
      </w:tr>
      <w:tr w14:paraId="59E1FE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EF42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service</w:t>
            </w:r>
          </w:p>
        </w:tc>
        <w:tc>
          <w:tcPr>
            <w:tcW w:w="0" w:type="auto"/>
            <w:shd w:val="clear"/>
            <w:vAlign w:val="center"/>
          </w:tcPr>
          <w:p w14:paraId="13AF87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Regras de negócio, chama o Repository</w:t>
            </w:r>
          </w:p>
        </w:tc>
      </w:tr>
      <w:tr w14:paraId="4D94E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8A3B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repository</w:t>
            </w:r>
          </w:p>
        </w:tc>
        <w:tc>
          <w:tcPr>
            <w:tcW w:w="0" w:type="auto"/>
            <w:shd w:val="clear"/>
            <w:vAlign w:val="center"/>
          </w:tcPr>
          <w:p w14:paraId="2769C8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Interface com o banco via JPA</w:t>
            </w:r>
          </w:p>
        </w:tc>
      </w:tr>
      <w:tr w14:paraId="1E18D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F34C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entity</w:t>
            </w:r>
          </w:p>
        </w:tc>
        <w:tc>
          <w:tcPr>
            <w:tcW w:w="0" w:type="auto"/>
            <w:shd w:val="clear"/>
            <w:vAlign w:val="center"/>
          </w:tcPr>
          <w:p w14:paraId="24D2F1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Representa a tabela do banco</w:t>
            </w:r>
          </w:p>
        </w:tc>
      </w:tr>
      <w:tr w14:paraId="166A2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2C12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dto</w:t>
            </w:r>
          </w:p>
        </w:tc>
        <w:tc>
          <w:tcPr>
            <w:tcW w:w="0" w:type="auto"/>
            <w:shd w:val="clear"/>
            <w:vAlign w:val="center"/>
          </w:tcPr>
          <w:p w14:paraId="7ADDC3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Objetos de entrada e saída da API</w:t>
            </w:r>
          </w:p>
        </w:tc>
      </w:tr>
      <w:tr w14:paraId="08791C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63F1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security</w:t>
            </w:r>
          </w:p>
        </w:tc>
        <w:tc>
          <w:tcPr>
            <w:tcW w:w="0" w:type="auto"/>
            <w:shd w:val="clear"/>
            <w:vAlign w:val="center"/>
          </w:tcPr>
          <w:p w14:paraId="4D536E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JWT, filtros e configuração de segurança</w:t>
            </w:r>
          </w:p>
        </w:tc>
      </w:tr>
      <w:tr w14:paraId="42A75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81354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exception</w:t>
            </w:r>
          </w:p>
        </w:tc>
        <w:tc>
          <w:tcPr>
            <w:tcW w:w="0" w:type="auto"/>
            <w:shd w:val="clear"/>
            <w:vAlign w:val="center"/>
          </w:tcPr>
          <w:p w14:paraId="0AA0A6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Tratamento global de erros</w:t>
            </w:r>
          </w:p>
        </w:tc>
      </w:tr>
    </w:tbl>
    <w:p w14:paraId="4E12793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thropicons-Variable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var(--font-mono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E29269"/>
    <w:multiLevelType w:val="multilevel"/>
    <w:tmpl w:val="DBE292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323825F8"/>
    <w:multiLevelType w:val="multilevel"/>
    <w:tmpl w:val="323825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34D35B5F"/>
    <w:multiLevelType w:val="multilevel"/>
    <w:tmpl w:val="34D35B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469786AD"/>
    <w:multiLevelType w:val="multilevel"/>
    <w:tmpl w:val="469786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2A7ACD"/>
    <w:rsid w:val="557E7653"/>
    <w:rsid w:val="612A7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basedOn w:val="1"/>
    <w:uiPriority w:val="0"/>
    <w:rPr>
      <w:szCs w:val="24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2026-06-10T00:00:00Z</dcterms:created>
  <dc:creator>Taciano Belarmino</dc:creator>
  <cp:lastModifiedBy>Taciano Belarmino</cp:lastModifiedBy>
  <dcterms:modified xsi:type="dcterms:W3CDTF">2026-06-10T00:17:06Z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857DB11A702046888B0235875599F6D3_11</vt:lpwstr>
  </property>
  <property fmtid="{D5CDD505-2E9C-101B-9397-08002B2CF9AE}" pid="4" name="KSOTemplateDocerSaveRecord">
    <vt:lpwstr>eyJoZGlkIjoiZjlmZjgzZmY4NTkxZmJkMjdlNWQ3NGYxYTk2OTM1YjgiLCJ1c2VySWQiOiIxMjU0ODY2OTQ1OTk1In0=</vt:lpwstr>
  </property>
</Properties>
</file>