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Lease terms</w:t>
      </w:r>
    </w:p>
    <w:p>
      <w:r>
        <w:t>Renewals run five years.</w:t>
      </w:r>
    </w:p>
    <w:p>
      <w:pPr>
        <w:pStyle w:val="Heading1"/>
      </w:pPr>
      <w:r>
        <w:t>Rent review</w:t>
      </w:r>
    </w:p>
    <w:p>
      <w:r>
        <w:t>Rent rose 4 percent last year.</w:t>
      </w:r>
    </w:p>
    <w:p>
      <w:pPr>
        <w:pStyle w:val="Heading2"/>
      </w:pPr>
      <w:r>
        <w:t>Exceptions</w:t>
      </w:r>
    </w:p>
    <w:p>
      <w:r>
        <w:t>Cafe leases differ.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