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Puesto de corte (G1 + G2): qué falta o está mal dimensionado</w:t>
      </w:r>
    </w:p>
    <w:p>
      <w:pPr>
        <w:spacing w:after="6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Comparación entre el plano rev23, lo que pide el proceso y las fuentes. Es una propuesta para validar: todavía no se cargó en la planilla dimensiones_puestos. </w:t>
      </w:r>
      <w:r>
        <w:rPr>
          <w:rFonts w:ascii="Arial" w:cs="Arial" w:eastAsia="Arial" w:hAnsi="Arial"/>
          <w:b/>
          <w:bCs/>
          <w:i/>
          <w:iCs/>
          <w:sz w:val="18"/>
          <w:szCs w:val="18"/>
        </w:rPr>
        <w:t xml:space="preserve">Estado: </w:t>
      </w:r>
      <w:r>
        <w:rPr>
          <w:rFonts w:ascii="Arial" w:cs="Arial" w:eastAsia="Arial" w:hAnsi="Arial"/>
          <w:b/>
          <w:bCs/>
          <w:color w:val="C00000"/>
          <w:sz w:val="18"/>
          <w:szCs w:val="18"/>
        </w:rPr>
        <w:t xml:space="preserve">Falta</w:t>
      </w:r>
      <w:r>
        <w:rPr>
          <w:rFonts w:ascii="Arial" w:cs="Arial" w:eastAsia="Arial" w:hAnsi="Arial"/>
          <w:sz w:val="18"/>
          <w:szCs w:val="18"/>
        </w:rPr>
        <w:t xml:space="preserve"> · </w:t>
      </w:r>
      <w:r>
        <w:rPr>
          <w:rFonts w:ascii="Arial" w:cs="Arial" w:eastAsia="Arial" w:hAnsi="Arial"/>
          <w:b/>
          <w:bCs/>
          <w:color w:val="C55A11"/>
          <w:sz w:val="18"/>
          <w:szCs w:val="18"/>
        </w:rPr>
        <w:t xml:space="preserve">Mal dimensionado</w:t>
      </w:r>
      <w:r>
        <w:rPr>
          <w:rFonts w:ascii="Arial" w:cs="Arial" w:eastAsia="Arial" w:hAnsi="Arial"/>
          <w:sz w:val="18"/>
          <w:szCs w:val="18"/>
        </w:rPr>
        <w:t xml:space="preserve"> · </w:t>
      </w:r>
      <w:r>
        <w:rPr>
          <w:rFonts w:ascii="Arial" w:cs="Arial" w:eastAsia="Arial" w:hAnsi="Arial"/>
          <w:b/>
          <w:bCs/>
          <w:color w:val="7F6000"/>
          <w:sz w:val="18"/>
          <w:szCs w:val="18"/>
        </w:rPr>
        <w:t xml:space="preserve">A confirmar</w:t>
      </w:r>
      <w:r>
        <w:rPr>
          <w:rFonts w:ascii="Arial" w:cs="Arial" w:eastAsia="Arial" w:hAnsi="Arial"/>
          <w:sz w:val="18"/>
          <w:szCs w:val="18"/>
        </w:rPr>
        <w:t xml:space="preserve"> · </w:t>
      </w:r>
      <w:r>
        <w:rPr>
          <w:rFonts w:ascii="Arial" w:cs="Arial" w:eastAsia="Arial" w:hAnsi="Arial"/>
          <w:b/>
          <w:bCs/>
          <w:color w:val="1F4E79"/>
          <w:sz w:val="18"/>
          <w:szCs w:val="18"/>
        </w:rPr>
        <w:t xml:space="preserve">Discutir</w:t>
      </w:r>
      <w:r>
        <w:rPr>
          <w:rFonts w:ascii="Arial" w:cs="Arial" w:eastAsia="Arial" w:hAnsi="Arial"/>
          <w:sz w:val="18"/>
          <w:szCs w:val="18"/>
        </w:rPr>
        <w:t xml:space="preserve"> · </w:t>
      </w:r>
      <w:r>
        <w:rPr>
          <w:rFonts w:ascii="Arial" w:cs="Arial" w:eastAsia="Arial" w:hAnsi="Arial"/>
          <w:b/>
          <w:bCs/>
          <w:color w:val="375623"/>
          <w:sz w:val="18"/>
          <w:szCs w:val="18"/>
        </w:rPr>
        <w:t xml:space="preserve">OK</w:t>
      </w:r>
    </w:p>
    <w:p>
      <w:pPr>
        <w:pStyle w:val="Heading1"/>
        <w:spacing w:after="100" w:before="2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1. Qué ordena la norma para el puesto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8838"/>
        <w:gridCol w:w="2800"/>
      </w:tblGrid>
      <w:tr>
        <w:trPr>
          <w:tblHeader/>
        </w:trPr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Norma</w:t>
            </w:r>
          </w:p>
        </w:tc>
        <w:tc>
          <w:tcPr>
            <w:tcW w:type="dxa" w:w="8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Qué pide para este puesto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Estado</w:t>
            </w:r>
          </w:p>
        </w:tc>
      </w:tr>
      <w:tr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Decreto 351/79, art. 103</w:t>
            </w:r>
          </w:p>
        </w:tc>
        <w:tc>
          <w:tcPr>
            <w:tcW w:type="dxa" w:w="8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Las máquinas que originan riesgos «no podrán emplearse sin la protección adecuada»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Verificado</w:t>
            </w:r>
          </w:p>
        </w:tc>
      </w:tr>
      <w:tr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EN 13985 (guillotinas)</w:t>
            </w:r>
          </w:p>
        </w:tc>
        <w:tc>
          <w:tcPr>
            <w:tcW w:type="dxa" w:w="8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Protección del operario y de otras personas, con acceso a la máquina desde todos los lados. Las cláusulas (resguardo trasero, distancias) no se pudieron leer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7F6000"/>
                <w:sz w:val="18"/>
                <w:szCs w:val="18"/>
              </w:rPr>
              <w:t xml:space="preserve">A confirmar</w:t>
            </w:r>
          </w:p>
        </w:tc>
      </w:tr>
      <w:tr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ISO 14738</w:t>
            </w:r>
          </w:p>
        </w:tc>
        <w:tc>
          <w:tcPr>
            <w:tcW w:type="dxa" w:w="8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Espacio que necesita el cuerpo para operar una máquina, de pie o sentado. No se confirmó si IRAM la adoptó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7F6000"/>
                <w:sz w:val="18"/>
                <w:szCs w:val="18"/>
              </w:rPr>
              <w:t xml:space="preserve">A confirmar</w:t>
            </w:r>
          </w:p>
        </w:tc>
      </w:tr>
      <w:tr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Res. MTEySS 295/03, Anexo I</w:t>
            </w:r>
          </w:p>
        </w:tc>
        <w:tc>
          <w:tcPr>
            <w:tcW w:type="dxa" w:w="8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Levantamiento manual de cargas (Tabla I hasta 32 kg). La hoja de 2,0 mm pesa 71 kg y la de 4,75 mm, 168 kg: siempre con ventosas, puente grúa y entre dos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Verificado (sin los valores de las tablas)</w:t>
            </w:r>
          </w:p>
        </w:tc>
      </w:tr>
      <w:tr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Res. SRT 299/11</w:t>
            </w:r>
          </w:p>
        </w:tc>
        <w:tc>
          <w:tcPr>
            <w:tcW w:type="dxa" w:w="8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Entrega y registro del EPP. El EPP es personal y el stock está en el pañol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Verificado</w:t>
            </w:r>
          </w:p>
        </w:tc>
      </w:tr>
      <w:tr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IRAM 10005</w:t>
            </w:r>
          </w:p>
        </w:tc>
        <w:tc>
          <w:tcPr>
            <w:tcW w:type="dxa" w:w="8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Colores y señales de seguridad: demarcación de la zona cerrada y de los pasillos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Norma de referencia; no leída en esta revisión</w:t>
            </w:r>
          </w:p>
        </w:tc>
      </w:tr>
      <w:tr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IRAM (en general)</w:t>
            </w:r>
          </w:p>
        </w:tc>
        <w:tc>
          <w:tcPr>
            <w:tcW w:type="dxa" w:w="8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 se encontró una norma IRAM específica para el puesto de una guillotina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</w:tr>
    </w:tbl>
    <w:p>
      <w:pPr>
        <w:pStyle w:val="Heading1"/>
        <w:spacing w:after="100" w:before="2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 Guillotina 1: primer corte (franjas)</w:t>
      </w:r>
    </w:p>
    <w:p>
      <w:pPr>
        <w:spacing w:after="60"/>
      </w:pPr>
      <w:r>
        <w:rPr>
          <w:rFonts w:ascii="Arial" w:cs="Arial" w:eastAsia="Arial" w:hAnsi="Arial"/>
          <w:sz w:val="18"/>
          <w:szCs w:val="18"/>
        </w:rPr>
        <w:t xml:space="preserve">Recorrido: la chapa llega con el puente grúa; el operario la desliza con ventosas sobre los brazos de apoyo; la franja cae atrás, en la zona cerrada, y pasa a la mesa elevadora 2; la orilla queda adelante y va al carro de scrap; la G1 también corta las tiras y piezas de accesorios de carros.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600"/>
        <w:gridCol w:w="4300"/>
        <w:gridCol w:w="3438"/>
        <w:gridCol w:w="1600"/>
      </w:tblGrid>
      <w:tr>
        <w:trPr>
          <w:tblHeader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Elemento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En el plano rev23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Propuesta</w:t>
            </w:r>
          </w:p>
        </w:tc>
        <w:tc>
          <w:tcPr>
            <w:tcW w:type="dxa" w:w="3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 dónde sale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Estado</w:t>
            </w:r>
          </w:p>
        </w:tc>
      </w:tr>
      <w:t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Guillotina 1 Ermaksan HGS 2600-6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3,4 × 1,9 m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3,40 × 1,88 × 1,55 m (validada)</w:t>
            </w:r>
          </w:p>
        </w:tc>
        <w:tc>
          <w:tcPr>
            <w:tcW w:type="dxa" w:w="3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Balanceo › Lotes A22 · aviso Exapro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Ingreso de la chapa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Mesa elevadora 1 + autoelevador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Puente grúa (definido por el grupo). Falta decidir si la grúa deja el paquete en la mesa 1 o si la mesa sale</w:t>
            </w:r>
          </w:p>
        </w:tc>
        <w:tc>
          <w:tcPr>
            <w:tcW w:type="dxa" w:w="3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Decisión del grupo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Discutir</w:t>
            </w:r>
          </w:p>
        </w:tc>
      </w:tr>
      <w:t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Brazos de apoyo frontales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1,8 × 1,0 m «con rodillos»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Son de serie en la HGS; pedir su medida a Ermaksan. Los rodillos no están confirmados</w:t>
            </w:r>
          </w:p>
        </w:tc>
        <w:tc>
          <w:tcPr>
            <w:tcW w:type="dxa" w:w="3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Ficha HGS (DirectIndustry)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7F6000"/>
                <w:sz w:val="18"/>
                <w:szCs w:val="18"/>
              </w:rPr>
              <w:t xml:space="preserve">A confirmar</w:t>
            </w:r>
          </w:p>
        </w:tc>
      </w:tr>
      <w:t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Zona del tope trasero (franjas)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3,4 × 1,0 m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Zona cerrada por la cortina de luz y demarcada en el piso. Nadie entra mientras corta</w:t>
            </w:r>
          </w:p>
        </w:tc>
        <w:tc>
          <w:tcPr>
            <w:tcW w:type="dxa" w:w="3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Plano · Decreto 351/79 art. 103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Cortina de luz trasera, protección de dedos y pedal único con parada de emergencia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 figuran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Pedirlos en la compra (kit CE). Un solo pedal: el 2.º operario solo ayuda con las ventosas</w:t>
            </w:r>
          </w:p>
        </w:tc>
        <w:tc>
          <w:tcPr>
            <w:tcW w:type="dxa" w:w="3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Aviso Exapro HGS 2600-6 · Word Manuales › Seguridad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Falta</w:t>
            </w:r>
          </w:p>
        </w:tc>
      </w:tr>
      <w:t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Carro de scrap propio de la G1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 hay: el único está en la G2, a unos 5 m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Carro 0,7 × 1,09 m al costado de la G1, del lado del operario (ahí queda la orilla)</w:t>
            </w:r>
          </w:p>
        </w:tc>
        <w:tc>
          <w:tcPr>
            <w:tcW w:type="dxa" w:w="3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Opción B acordada en el chat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Falta</w:t>
            </w:r>
          </w:p>
        </w:tc>
      </w:tr>
      <w:t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Carro de cajas: piezas de accesorios de carros (pulmón hacia el 8.1)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 figura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Carro con cajas plásticas, una por pieza. El operario del 8.1 lo busca una vez por día (≈23 kg en el pico)</w:t>
            </w:r>
          </w:p>
        </w:tc>
        <w:tc>
          <w:tcPr>
            <w:tcW w:type="dxa" w:w="3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Balanceo › Parametros A30–A31 · Word Carros › Salida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Falta</w:t>
            </w:r>
          </w:p>
        </w:tc>
      </w:tr>
      <w:t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Ventosas Hamilton VH3 (4)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 figuran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Estante chico o caja con tapa al lado de la G1, ventosas boca arriba, sin peso encima y fuera del sol</w:t>
            </w:r>
          </w:p>
        </w:tc>
        <w:tc>
          <w:tcPr>
            <w:tcW w:type="dxa" w:w="3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Word Carros › Equipos · guías Sealey y Piab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Falta</w:t>
            </w:r>
          </w:p>
        </w:tc>
      </w:tr>
      <w:t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Escuadra, cinta y calibre (control de la primera pieza)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 figuran (el pañol tiene estantería de herramientas)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Tablero de herramientas en el puesto. La ISO 10012 pide instrumentos calibrados e identificados</w:t>
            </w:r>
          </w:p>
        </w:tc>
        <w:tc>
          <w:tcPr>
            <w:tcW w:type="dxa" w:w="3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Word Carros › Controles · ISO 10012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Falta</w:t>
            </w:r>
          </w:p>
        </w:tc>
      </w:tr>
      <w:t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Tacho con tapa para trapos con aceite (Y48)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 figura (el aceite usado está en mantenimiento)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Tacho chico en el puesto. El aceite hidráulico (Y8) se maneja en mantenimiento</w:t>
            </w:r>
          </w:p>
        </w:tc>
        <w:tc>
          <w:tcPr>
            <w:tcW w:type="dxa" w:w="3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Ley 24.051 · Res. 897/2002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Falta</w:t>
            </w:r>
          </w:p>
        </w:tc>
      </w:tr>
      <w:t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Lugar del operario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1,45 m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 hay norma que fije la medida; se mantiene como criterio de diseño</w:t>
            </w:r>
          </w:p>
        </w:tc>
        <w:tc>
          <w:tcPr>
            <w:tcW w:type="dxa" w:w="3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Plano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7F6000"/>
                <w:sz w:val="18"/>
                <w:szCs w:val="18"/>
              </w:rPr>
              <w:t xml:space="preserve">A confirmar</w:t>
            </w:r>
          </w:p>
        </w:tc>
      </w:tr>
    </w:tbl>
    <w:p>
      <w:pPr>
        <w:pStyle w:val="Heading1"/>
        <w:spacing w:after="100" w:before="2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3. Guillotina 2: segundo corte (piezas)</w:t>
      </w:r>
    </w:p>
    <w:p>
      <w:pPr>
        <w:spacing w:after="60"/>
      </w:pPr>
      <w:r>
        <w:rPr>
          <w:rFonts w:ascii="Arial" w:cs="Arial" w:eastAsia="Arial" w:hAnsi="Arial"/>
          <w:sz w:val="18"/>
          <w:szCs w:val="18"/>
        </w:rPr>
        <w:t xml:space="preserve">Recorrido: el operario toma la franja de la mesa elevadora 2; la G2 corta los desarrollos de manuales y las piezas de carros; las piezas caen atrás y van a los carros FCEP; la orilla va al carro de scrap de la G2.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600"/>
        <w:gridCol w:w="4300"/>
        <w:gridCol w:w="3438"/>
        <w:gridCol w:w="1600"/>
      </w:tblGrid>
      <w:tr>
        <w:trPr>
          <w:tblHeader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Elemento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En el plano rev23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Propuesta</w:t>
            </w:r>
          </w:p>
        </w:tc>
        <w:tc>
          <w:tcPr>
            <w:tcW w:type="dxa" w:w="3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 dónde sale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Estado</w:t>
            </w:r>
          </w:p>
        </w:tc>
      </w:tr>
      <w:t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Guillotina 2 QC12Y 6 × 2500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1,61 × 3,04 m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3,10 × 1,62 × 1,60 m: el plano la dibuja 6 cm más corta</w:t>
            </w:r>
          </w:p>
        </w:tc>
        <w:tc>
          <w:tcPr>
            <w:tcW w:type="dxa" w:w="3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Ficha goldsupplier (R017–R019)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C55A11"/>
                <w:sz w:val="18"/>
                <w:szCs w:val="18"/>
              </w:rPr>
              <w:t xml:space="preserve">Mal dimensionado</w:t>
            </w:r>
          </w:p>
        </w:tc>
      </w:tr>
      <w:t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Mesa elevadora 2 (pulmón de franjas)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SJG3.0-1.6, 2,6 × 1,8 m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En la planilla figura un equivalente de 2,5 × 1,3 m. Unificar con la SJG de 2,6 × 1,8 m del plano</w:t>
            </w:r>
          </w:p>
        </w:tc>
        <w:tc>
          <w:tcPr>
            <w:tcW w:type="dxa" w:w="3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Pulmones I6 · plano · fabricante SJG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C55A11"/>
                <w:sz w:val="18"/>
                <w:szCs w:val="18"/>
              </w:rPr>
              <w:t xml:space="preserve">Mal dimensionado</w:t>
            </w:r>
          </w:p>
        </w:tc>
      </w:tr>
      <w:t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Zona del tope trasero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0,8 × 3,04 m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Verificar el recorrido real del tope de la QC12Y: tiene que alcanzar la pieza más larga, 640 mm (cuerpo de 50 kg)</w:t>
            </w:r>
          </w:p>
        </w:tc>
        <w:tc>
          <w:tcPr>
            <w:tcW w:type="dxa" w:w="3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Plano · Word Carros › tabla de corte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7F6000"/>
                <w:sz w:val="18"/>
                <w:szCs w:val="18"/>
              </w:rPr>
              <w:t xml:space="preserve">A confirmar</w:t>
            </w:r>
          </w:p>
        </w:tc>
      </w:tr>
      <w:t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Salida de piezas detrás de la G2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 hay rampa: los carros están detrás de la zona del tope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Rampa o mesa de recepción detrás de la cuchilla para que la pieza llegue al carro sin entrar a la zona cerrada</w:t>
            </w:r>
          </w:p>
        </w:tc>
        <w:tc>
          <w:tcPr>
            <w:tcW w:type="dxa" w:w="3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Word Carros › Salida (rampa trasera)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Falta</w:t>
            </w:r>
          </w:p>
        </w:tc>
      </w:tr>
      <w:t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Carros FCEP10520 (desarrollos de manuales y piezas de carros)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 carros de 0,7 × 1,09 m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En la planilla figura 1 carro de 1,3 × 0,7 m (dato de Fran con maniobra). Definir si son 1 o 2 y con qué medida</w:t>
            </w:r>
          </w:p>
        </w:tc>
        <w:tc>
          <w:tcPr>
            <w:tcW w:type="dxa" w:w="3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Plano · Storage Compat · Pulmones D42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Discutir</w:t>
            </w:r>
          </w:p>
        </w:tc>
      </w:tr>
      <w:t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Carro de scrap de la G2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0,7 × 1,09 m, compartido con la G1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Queda solo para la G2 (la G1 tiene el suyo)</w:t>
            </w:r>
          </w:p>
        </w:tc>
        <w:tc>
          <w:tcPr>
            <w:tcW w:type="dxa" w:w="3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Plano rev23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Cortina de luz, protección de dedos y pedal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 figuran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Igual que en la G1: pedirlos en la compra y cerrar la zona trasera</w:t>
            </w:r>
          </w:p>
        </w:tc>
        <w:tc>
          <w:tcPr>
            <w:tcW w:type="dxa" w:w="3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Decreto 351/79 art. 103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Falta</w:t>
            </w:r>
          </w:p>
        </w:tc>
      </w:tr>
      <w:t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Contenedor de 1.000 l de scrap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Afuera, en la fila este del almacén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Sin cambios: los dos carros se vuelcan ahí y el contenedor sale al volquete</w:t>
            </w:r>
          </w:p>
        </w:tc>
        <w:tc>
          <w:tcPr>
            <w:tcW w:type="dxa" w:w="3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Plano rev23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OK</w:t>
            </w:r>
          </w:p>
        </w:tc>
      </w:tr>
    </w:tbl>
    <w:p>
      <w:pPr>
        <w:pStyle w:val="Heading1"/>
        <w:spacing w:after="100" w:before="2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 Scrap y residuos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Chapa: </w:t>
      </w:r>
      <w:r>
        <w:rPr>
          <w:rFonts w:ascii="Arial" w:cs="Arial" w:eastAsia="Arial" w:hAnsi="Arial"/>
          <w:sz w:val="18"/>
          <w:szCs w:val="18"/>
        </w:rPr>
        <w:t xml:space="preserve">un carro por guillotina, cada uno del lado del operario. Los dos se vuelcan en el contenedor de 1.000 l del almacén. Cantidad en el pico: ≈70 kg/día de manuales y ≈28 kg/día de carros (Word Manuales y Word Carros).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Aceite hidráulico (Y8): </w:t>
      </w:r>
      <w:r>
        <w:rPr>
          <w:rFonts w:ascii="Arial" w:cs="Arial" w:eastAsia="Arial" w:hAnsi="Arial"/>
          <w:sz w:val="18"/>
          <w:szCs w:val="18"/>
        </w:rPr>
        <w:t xml:space="preserve">solo en los cambios de mantenimiento; se guarda en el sector de mantenimiento, como en el plano rev23.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Trapos y absorbentes con aceite (Y48): </w:t>
      </w:r>
      <w:r>
        <w:rPr>
          <w:rFonts w:ascii="Arial" w:cs="Arial" w:eastAsia="Arial" w:hAnsi="Arial"/>
          <w:sz w:val="18"/>
          <w:szCs w:val="18"/>
        </w:rPr>
        <w:t xml:space="preserve">tacho con tapa en el puesto. Nunca van al contenedor de scrap.</w:t>
      </w:r>
    </w:p>
    <w:p>
      <w:pPr>
        <w:pStyle w:val="Heading1"/>
        <w:spacing w:after="100" w:before="2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5. Para decidir en la próxima revisión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8"/>
          <w:szCs w:val="18"/>
        </w:rPr>
        <w:t xml:space="preserve">Con el puente grúa, ¿la mesa elevadora 1 se queda o sale?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8"/>
          <w:szCs w:val="18"/>
        </w:rPr>
        <w:t xml:space="preserve">Carros FCEP: ¿1 o 2, y con la medida del carro (1,065 × 0,70 m) o la de Fran (1,3 × 0,7 m, con maniobra)?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8"/>
          <w:szCs w:val="18"/>
        </w:rPr>
        <w:t xml:space="preserve">Medidas de los brazos de apoyo y recorrido del tope de la QC12Y: pedirlos a los fabricantes.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8"/>
          <w:szCs w:val="18"/>
        </w:rPr>
        <w:t xml:space="preserve">Medida del carro de cajas de accesorios.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Fuentes</w:t>
      </w:r>
    </w:p>
    <w:p>
      <w:pPr>
        <w:spacing w:after="60"/>
      </w:pPr>
      <w:hyperlink w:history="1" r:id="rIdsmxrvanciyld0umv_x_3i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Ermaksan HGS (DirectIndustry)</w:t>
        </w:r>
      </w:hyperlink>
      <w:r>
        <w:rPr>
          <w:rFonts w:ascii="Arial" w:cs="Arial" w:eastAsia="Arial" w:hAnsi="Arial"/>
          <w:sz w:val="18"/>
          <w:szCs w:val="18"/>
        </w:rPr>
        <w:t xml:space="preserve"> · </w:t>
      </w:r>
      <w:hyperlink w:history="1" r:id="rIdygx8i_vapcf4spbwiyrkd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Exapro HGS 2600-6</w:t>
        </w:r>
      </w:hyperlink>
      <w:r>
        <w:rPr>
          <w:rFonts w:ascii="Arial" w:cs="Arial" w:eastAsia="Arial" w:hAnsi="Arial"/>
          <w:sz w:val="18"/>
          <w:szCs w:val="18"/>
        </w:rPr>
        <w:t xml:space="preserve"> · </w:t>
      </w:r>
      <w:hyperlink w:history="1" r:id="rIdf48gq1kzq2hgdxf7ah3is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QC12Y-6X2500 (goldsupplier)</w:t>
        </w:r>
      </w:hyperlink>
      <w:r>
        <w:rPr>
          <w:rFonts w:ascii="Arial" w:cs="Arial" w:eastAsia="Arial" w:hAnsi="Arial"/>
          <w:sz w:val="18"/>
          <w:szCs w:val="18"/>
        </w:rPr>
        <w:t xml:space="preserve"> · </w:t>
      </w:r>
      <w:hyperlink w:history="1" r:id="rIdw8khzdymbryxhjcd2wjof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Decreto 351/79</w:t>
        </w:r>
      </w:hyperlink>
      <w:r>
        <w:rPr>
          <w:rFonts w:ascii="Arial" w:cs="Arial" w:eastAsia="Arial" w:hAnsi="Arial"/>
          <w:sz w:val="18"/>
          <w:szCs w:val="18"/>
        </w:rPr>
        <w:t xml:space="preserve"> · </w:t>
      </w:r>
      <w:hyperlink w:history="1" r:id="rIdf7vb9630sins_ygy5fjh9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EN 13985</w:t>
        </w:r>
      </w:hyperlink>
      <w:r>
        <w:rPr>
          <w:rFonts w:ascii="Arial" w:cs="Arial" w:eastAsia="Arial" w:hAnsi="Arial"/>
          <w:sz w:val="18"/>
          <w:szCs w:val="18"/>
        </w:rPr>
        <w:t xml:space="preserve"> · </w:t>
      </w:r>
      <w:hyperlink w:history="1" r:id="rIdz_cy_muzuu4sowmel-ksz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ISO 14738</w:t>
        </w:r>
      </w:hyperlink>
      <w:r>
        <w:rPr>
          <w:rFonts w:ascii="Arial" w:cs="Arial" w:eastAsia="Arial" w:hAnsi="Arial"/>
          <w:sz w:val="18"/>
          <w:szCs w:val="18"/>
        </w:rPr>
        <w:t xml:space="preserve"> · </w:t>
      </w:r>
      <w:hyperlink w:history="1" r:id="rIdf923xkuxtcilmbavcacsj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Res. 295/03</w:t>
        </w:r>
      </w:hyperlink>
      <w:r>
        <w:rPr>
          <w:rFonts w:ascii="Arial" w:cs="Arial" w:eastAsia="Arial" w:hAnsi="Arial"/>
          <w:sz w:val="18"/>
          <w:szCs w:val="18"/>
        </w:rPr>
        <w:t xml:space="preserve"> · </w:t>
      </w:r>
      <w:hyperlink w:history="1" r:id="rIdm8toa4cnrioqljrdsinz9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Res. SRT 299/11</w:t>
        </w:r>
      </w:hyperlink>
      <w:r>
        <w:rPr>
          <w:rFonts w:ascii="Arial" w:cs="Arial" w:eastAsia="Arial" w:hAnsi="Arial"/>
          <w:sz w:val="18"/>
          <w:szCs w:val="18"/>
        </w:rPr>
        <w:t xml:space="preserve"> · </w:t>
      </w:r>
      <w:hyperlink w:history="1" r:id="rIdsqswf0uu4kis4zftpidpj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Ley 24.051</w:t>
        </w:r>
      </w:hyperlink>
      <w:r>
        <w:rPr>
          <w:rFonts w:ascii="Arial" w:cs="Arial" w:eastAsia="Arial" w:hAnsi="Arial"/>
          <w:sz w:val="18"/>
          <w:szCs w:val="18"/>
        </w:rPr>
        <w:t xml:space="preserve"> · </w:t>
      </w:r>
      <w:hyperlink w:history="1" r:id="rIdtqbr2odta8khh8uzcyu18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Res. 897/2002</w:t>
        </w:r>
      </w:hyperlink>
      <w:r>
        <w:rPr>
          <w:rFonts w:ascii="Arial" w:cs="Arial" w:eastAsia="Arial" w:hAnsi="Arial"/>
          <w:sz w:val="18"/>
          <w:szCs w:val="18"/>
        </w:rPr>
        <w:t xml:space="preserve"> · </w:t>
      </w:r>
      <w:hyperlink w:history="1" r:id="rIdp8uspjddphq5ozwj-ekgs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ISO 10012 (TÜV)</w:t>
        </w:r>
      </w:hyperlink>
      <w:r>
        <w:rPr>
          <w:rFonts w:ascii="Arial" w:cs="Arial" w:eastAsia="Arial" w:hAnsi="Arial"/>
          <w:sz w:val="18"/>
          <w:szCs w:val="18"/>
        </w:rPr>
        <w:t xml:space="preserve"> · </w:t>
      </w:r>
      <w:hyperlink w:history="1" r:id="rId_9qrpi1eznwruejbsq5ow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Guía Piab de ventosas</w:t>
        </w:r>
      </w:hyperlink>
      <w:r>
        <w:rPr>
          <w:rFonts w:ascii="Arial" w:cs="Arial" w:eastAsia="Arial" w:hAnsi="Arial"/>
          <w:sz w:val="18"/>
          <w:szCs w:val="18"/>
        </w:rPr>
        <w:t xml:space="preserve"> · </w:t>
      </w:r>
      <w:hyperlink w:history="1" r:id="rIdp6tllylw6dsbkzdp0hcp1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Ventosa Hamilton VH3</w:t>
        </w:r>
      </w:hyperlink>
    </w:p>
    <w:p>
      <w:pPr>
        <w:spacing w:after="6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Documentos internos: Balanceo-FLAMA2035.xlsx y PULMONES-FLAMA2035.xlsx (Fran), Word de proceso CARROS y MANUALES, plano rev23.</w:t>
      </w:r>
    </w:p>
    <w:sectPr>
      <w:pgSz w:w="16838" w:h="11906" w:orient="landscape"/>
      <w:pgMar w:top="900" w:right="1000" w:bottom="9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18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36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54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72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9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08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44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smxrvanciyld0umv_x_3i" Type="http://schemas.openxmlformats.org/officeDocument/2006/relationships/hyperlink" Target="https://directindustry.com/prod/ermaksan/product-33323-416944.html" TargetMode="External"/><Relationship Id="rIdygx8i_vapcf4spbwiyrkd" Type="http://schemas.openxmlformats.org/officeDocument/2006/relationships/hyperlink" Target="https://www.exapro.com/ermaksan-cnc-hgs-2600-6-p220217005/" TargetMode="External"/><Relationship Id="rIdf48gq1kzq2hgdxf7ah3is" Type="http://schemas.openxmlformats.org/officeDocument/2006/relationships/hyperlink" Target="https://www.goldsupplier.com/provide/p106252035.html" TargetMode="External"/><Relationship Id="rIdw8khzdymbryxhjcd2wjof" Type="http://schemas.openxmlformats.org/officeDocument/2006/relationships/hyperlink" Target="https://exactas.uba.ar/higieneyseguridad/wp-content/uploads/2019/08/Decreto-351-1979-reglamento-Ley-19587.-Incluye-Anexos.pdf" TargetMode="External"/><Relationship Id="rIdf7vb9630sins_ygy5fjh9" Type="http://schemas.openxmlformats.org/officeDocument/2006/relationships/hyperlink" Target="https://shop-checkout.bsigroup.com/products/machine-tools-safety-guillotine-shears" TargetMode="External"/><Relationship Id="rIdz_cy_muzuu4sowmel-ksz" Type="http://schemas.openxmlformats.org/officeDocument/2006/relationships/hyperlink" Target="https://www.iso.org/standard/27556.html" TargetMode="External"/><Relationship Id="rIdf923xkuxtcilmbavcacsj" Type="http://schemas.openxmlformats.org/officeDocument/2006/relationships/hyperlink" Target="https://www.argentina.gob.ar/normativa/nacional/90396/texto" TargetMode="External"/><Relationship Id="rIdm8toa4cnrioqljrdsinz9" Type="http://schemas.openxmlformats.org/officeDocument/2006/relationships/hyperlink" Target="https://www.fio.unicen.edu.ar/extension/seh/images/pdf/cap19/res299-11.pdf" TargetMode="External"/><Relationship Id="rIdsqswf0uu4kis4zftpidpj" Type="http://schemas.openxmlformats.org/officeDocument/2006/relationships/hyperlink" Target="https://www.argentina.gob.ar/normativa/nacional/norma-68477/texto" TargetMode="External"/><Relationship Id="rIdtqbr2odta8khh8uzcyu18" Type="http://schemas.openxmlformats.org/officeDocument/2006/relationships/hyperlink" Target="https://www.argentina.gob.ar/normativa/nacional/norma-77374/texto" TargetMode="External"/><Relationship Id="rIdp8uspjddphq5ozwj-ekgs" Type="http://schemas.openxmlformats.org/officeDocument/2006/relationships/hyperlink" Target="https://www.tuv.com/argentina/es/iso-10012-%E2%80%93-sistemas-de-gesti%C3%B3n-de-la-medici%C3%B3n.html" TargetMode="External"/><Relationship Id="rId_9qrpi1eznwruejbsq5ow" Type="http://schemas.openxmlformats.org/officeDocument/2006/relationships/hyperlink" Target="https://www.piab.com/qr-code-pages/storage-and-handling-guideline-for-suction-cups-and-other-rubber-products/" TargetMode="External"/><Relationship Id="rIdp6tllylw6dsbkzdp0hcp1" Type="http://schemas.openxmlformats.org/officeDocument/2006/relationships/hyperlink" Target="https://articulo.mercadolibre.com.ar/MLA-876337101-ventosa-triple-hamilton-vh3-_JM" TargetMode="External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2026-10-25T03:14:00.886Z</dcterms:created>
  <dcterms:modified xsi:type="dcterms:W3CDTF">2026-10-25T03:14:00.887Z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