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Son los rubros que consumen toda la gama de matafuegos; supermercados, automotor y edificios quedan afuera.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va por fuera de la válvula y se compra aparte;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va por fuera de la válvula, se compra aparte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link y el detalle de cada fuente están en el Excel (POLITICA_STOCK, columna «De dónde sale el plazo»). Días corridos → hábiles: × 5 / 7. El caño del 1 kg (MP-01) no usa la «entrega inmediata» de Comercial MID: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710"/>
        <w:gridCol w:w="1031"/>
        <w:gridCol w:w="5565"/>
      </w:tblGrid>
      <w:tr>
        <w:trPr>
          <w:cantSplit/>
          <w:tblHeader/>
        </w:trPr>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 W = link en el Excel)</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56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 (W28)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 (W5)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 (W4)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 (W11)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 (W29)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 (W12)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 (W6)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 (W30)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 (W31)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 (W24)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 (W25)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 (W27)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(W14)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 (W26)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 (W7)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 (W16)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 (W33)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 (W34)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(W18)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 (W8)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 (W35)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 (W17)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 (W32)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 (W9)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 (W10)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 (W15)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 (W13)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 (W26)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en los insumos de carros, de las unidades de entrega del proceso de carros, y en los envases de recargas, de la lista de precios de agentes.</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0"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 («Aproximado» en el Excel: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Fuentes de los plazos de entrega (W4 a W18 y W24 a W35, buscadas del 12 al 13/10/2026): el link de cada una está en el Excel, hoja POLITICA_STOCK, columna «De dónde sale el plazo», con el texto completo en el comentario de la celda. Otras fuentes web:</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de316ea0715cd3579f76bbc626f2d74e77ee30.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1d4af63d51c2c353a8a7170df58e5c183bc1d520.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2026-10-14T01:10:43.346Z</dcterms:created>
  <dcterms:modified xsi:type="dcterms:W3CDTF">2026-10-14T01:10:43.346Z</dcterms:modified>
</cp:coreProperties>
</file>

<file path=docProps/custom.xml><?xml version="1.0" encoding="utf-8"?>
<Properties xmlns="http://schemas.openxmlformats.org/officeDocument/2006/custom-properties" xmlns:vt="http://schemas.openxmlformats.org/officeDocument/2006/docPropsVTypes"/>
</file>