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Sistema de trazabilidad FLAMA</w:t>
      </w:r>
    </w:p>
    <w:p>
      <w:pPr>
        <w:spacing w:after="60" w:before="0" w:line="276"/>
      </w:pPr>
      <w:r>
        <w:rPr>
          <w:rFonts w:ascii="Arial" w:cs="Arial" w:eastAsia="Arial" w:hAnsi="Arial"/>
          <w:color w:val="595959"/>
          <w:sz w:val="20"/>
          <w:szCs w:val="20"/>
        </w:rPr>
        <w:t xml:space="preserve">Marcado del recipiente, seguimiento en planta, cadena de entrega, servicio, retorno e inutilización</w:t>
      </w:r>
    </w:p>
    <w:p>
      <w:pPr>
        <w:spacing w:after="100" w:before="0" w:line="276"/>
      </w:pPr>
      <w:r>
        <w:rPr>
          <w:rFonts w:ascii="Arial" w:cs="Arial" w:eastAsia="Arial" w:hAnsi="Arial"/>
          <w:color w:val="000000"/>
          <w:sz w:val="19"/>
          <w:szCs w:val="19"/>
        </w:rPr>
        <w:t xml:space="preserve">Un número por recipiente, grabado en el cuerpo al cortar la chapa, que no se pierde nunca. Todo lo demás (etiqueta, QR, sistema) cuelga de ese número. Las normas se citan por cláusula; donde el valor es un criterio de diseño y no un requisito, se dice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w:t>
      </w:r>
    </w:p>
    <w:p>
      <w:pPr>
        <w:pStyle w:val="Heading1"/>
        <w:keepNext/>
        <w:spacing w:after="120" w:before="240" w:line="276"/>
      </w:pPr>
      <w:r>
        <w:rPr>
          <w:rFonts w:ascii="Arial" w:cs="Arial" w:eastAsia="Arial" w:hAnsi="Arial"/>
          <w:color w:val="000000"/>
          <w:sz w:val="19"/>
          <w:szCs w:val="19"/>
        </w:rPr>
        <w:t xml:space="preserve">0. Qué cambié para que la lógica cierre</w:t>
      </w:r>
    </w:p>
    <w:p>
      <w:pPr>
        <w:spacing w:after="100" w:before="0" w:line="276"/>
      </w:pPr>
      <w:r>
        <w:rPr>
          <w:rFonts w:ascii="Arial" w:cs="Arial" w:eastAsia="Arial" w:hAnsi="Arial"/>
          <w:color w:val="000000"/>
          <w:sz w:val="19"/>
          <w:szCs w:val="19"/>
        </w:rPr>
        <w:t xml:space="preserve">La versión en Excel listaba etapas y datos, pero no decía qué pasa cuando algo falla, quién lee fuera de la planta, ni cómo cambia el equipo en cada recarga. Estos son los seis cambios de fondo: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23"/>
        <w:gridCol w:w="4245"/>
        <w:gridCol w:w="3538"/>
      </w:tblGrid>
      <w:tr>
        <w:trPr>
          <w:cantSplit/>
          <w:tblHeader/>
        </w:trPr>
        <w:tc>
          <w:tcPr>
            <w:tcW w:type="dxa" w:w="21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Antes (Excel)</w:t>
            </w:r>
          </w:p>
        </w:tc>
        <w:tc>
          <w:tcPr>
            <w:tcW w:type="dxa" w:w="424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Ahora</w:t>
            </w:r>
          </w:p>
        </w:tc>
        <w:tc>
          <w:tcPr>
            <w:tcW w:type="dxa" w:w="353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qué funciona mejor</w:t>
            </w:r>
          </w:p>
        </w:tc>
      </w:tr>
      <w:tr>
        <w:trPr>
          <w:cantSplit/>
        </w:trPr>
        <w:tc>
          <w:tcPr>
            <w:tcW w:type="dxa" w:w="2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 cada puesto anota</w:t>
            </w:r>
          </w:p>
        </w:tc>
        <w:tc>
          <w:tcPr>
            <w:tcW w:type="dxa" w:w="4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Control:</w:t>
            </w:r>
            <w:r>
              <w:rPr>
                <w:rFonts w:ascii="Arial" w:cs="Arial" w:eastAsia="Arial" w:hAnsi="Arial"/>
                <w:b w:val="false"/>
                <w:bCs w:val="false"/>
                <w:color w:val="000000"/>
                <w:sz w:val="16"/>
                <w:szCs w:val="16"/>
              </w:rPr>
              <w:t xml:space="preserve"> cada puesto lee el grabado, el sistema le muestra la ficha del modelo y solo deja pasar si el estado anterior está aprobado (compuertas o «gates»)</w:t>
            </w:r>
          </w:p>
        </w:tc>
        <w:tc>
          <w:tcPr>
            <w:tcW w:type="dxa" w:w="35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equipo sin PH o sin ensayo de pérdidas no puede llegar a la etiqueta: el error se frena en el puesto, no en la auditoría</w:t>
            </w:r>
          </w:p>
        </w:tc>
      </w:tr>
      <w:tr>
        <w:trPr>
          <w:cantSplit/>
        </w:trPr>
        <w:tc>
          <w:tcPr>
            <w:tcW w:type="dxa" w:w="2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planilla por etapa</w:t>
            </w:r>
          </w:p>
        </w:tc>
        <w:tc>
          <w:tcPr>
            <w:tcW w:type="dxa" w:w="4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Eventos:</w:t>
            </w:r>
            <w:r>
              <w:rPr>
                <w:rFonts w:ascii="Arial" w:cs="Arial" w:eastAsia="Arial" w:hAnsi="Arial"/>
                <w:b w:val="false"/>
                <w:bCs w:val="false"/>
                <w:color w:val="000000"/>
                <w:sz w:val="16"/>
                <w:szCs w:val="16"/>
              </w:rPr>
              <w:t xml:space="preserve"> cada lectura es un renglón inmutable (qué, cuándo, dónde, por qué, cómo), con el modelo GS1 EPCIS 2.0</w:t>
            </w:r>
          </w:p>
        </w:tc>
        <w:tc>
          <w:tcPr>
            <w:tcW w:type="dxa" w:w="35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historia del equipo es la lista de sus eventos; nada se pisa</w:t>
            </w:r>
          </w:p>
        </w:tc>
      </w:tr>
      <w:tr>
        <w:trPr>
          <w:cantSplit/>
        </w:trPr>
        <w:tc>
          <w:tcPr>
            <w:tcW w:type="dxa" w:w="2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Leer equipo por equipo</w:t>
            </w:r>
          </w:p>
        </w:tc>
        <w:tc>
          <w:tcPr>
            <w:tcW w:type="dxa" w:w="4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Agregación:</w:t>
            </w:r>
            <w:r>
              <w:rPr>
                <w:rFonts w:ascii="Arial" w:cs="Arial" w:eastAsia="Arial" w:hAnsi="Arial"/>
                <w:b w:val="false"/>
                <w:bCs w:val="false"/>
                <w:color w:val="000000"/>
                <w:sz w:val="16"/>
                <w:szCs w:val="16"/>
              </w:rPr>
              <w:t xml:space="preserve"> serie → caja → pallet (SSCC). Se lee el pallet y el sistema sabe qué series lleva</w:t>
            </w:r>
          </w:p>
        </w:tc>
        <w:tc>
          <w:tcPr>
            <w:tcW w:type="dxa" w:w="35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traspaso de 200 equipos es una lectura, no 200</w:t>
            </w:r>
          </w:p>
        </w:tc>
      </w:tr>
      <w:tr>
        <w:trPr>
          <w:cantSplit/>
        </w:trPr>
        <w:tc>
          <w:tcPr>
            <w:tcW w:type="dxa" w:w="2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cliente «aparece» al final</w:t>
            </w:r>
          </w:p>
        </w:tc>
        <w:tc>
          <w:tcPr>
            <w:tcW w:type="dxa" w:w="4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Custodia:</w:t>
            </w:r>
            <w:r>
              <w:rPr>
                <w:rFonts w:ascii="Arial" w:cs="Arial" w:eastAsia="Arial" w:hAnsi="Arial"/>
                <w:b w:val="false"/>
                <w:bCs w:val="false"/>
                <w:color w:val="000000"/>
                <w:sz w:val="16"/>
                <w:szCs w:val="16"/>
              </w:rPr>
              <w:t xml:space="preserve"> cada traspaso es doble (sale de uno / entra al otro) con su documento</w:t>
            </w:r>
          </w:p>
        </w:tc>
        <w:tc>
          <w:tcPr>
            <w:tcW w:type="dxa" w:w="35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sabe en todo momento quién tiene el equipo y dónde se cortó la cadena</w:t>
            </w:r>
          </w:p>
        </w:tc>
      </w:tr>
      <w:tr>
        <w:trPr>
          <w:cantSplit/>
        </w:trPr>
        <w:tc>
          <w:tcPr>
            <w:tcW w:type="dxa" w:w="2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ficha era fija</w:t>
            </w:r>
          </w:p>
        </w:tc>
        <w:tc>
          <w:tcPr>
            <w:tcW w:type="dxa" w:w="4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Ficha versionada:</w:t>
            </w:r>
            <w:r>
              <w:rPr>
                <w:rFonts w:ascii="Arial" w:cs="Arial" w:eastAsia="Arial" w:hAnsi="Arial"/>
                <w:b w:val="false"/>
                <w:bCs w:val="false"/>
                <w:color w:val="000000"/>
                <w:sz w:val="16"/>
                <w:szCs w:val="16"/>
              </w:rPr>
              <w:t xml:space="preserve"> el equipo nace con la ficha rev. 0 (como se fabricó) y cada servicio genera rev. n+1 (como quedó)</w:t>
            </w:r>
          </w:p>
        </w:tc>
        <w:tc>
          <w:tcPr>
            <w:tcW w:type="dxa" w:w="35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recarga re-especifica el equipo: agente, masa, presión, componentes, PH y vencimientos</w:t>
            </w:r>
          </w:p>
        </w:tc>
      </w:tr>
      <w:tr>
        <w:trPr>
          <w:cantSplit/>
        </w:trPr>
        <w:tc>
          <w:tcPr>
            <w:tcW w:type="dxa" w:w="2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baja era un dato más</w:t>
            </w:r>
          </w:p>
        </w:tc>
        <w:tc>
          <w:tcPr>
            <w:tcW w:type="dxa" w:w="42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Bloqueo:</w:t>
            </w:r>
            <w:r>
              <w:rPr>
                <w:rFonts w:ascii="Arial" w:cs="Arial" w:eastAsia="Arial" w:hAnsi="Arial"/>
                <w:b w:val="false"/>
                <w:bCs w:val="false"/>
                <w:color w:val="000000"/>
                <w:sz w:val="16"/>
                <w:szCs w:val="16"/>
              </w:rPr>
              <w:t xml:space="preserve"> un serie inutilizado queda bloqueado; si alguien lo lee, el sistema muestra «INUTILIZADO»</w:t>
            </w:r>
          </w:p>
        </w:tc>
        <w:tc>
          <w:tcPr>
            <w:tcW w:type="dxa" w:w="35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Evita que un cuerpo dado de baja vuelva al mercado</w:t>
            </w:r>
          </w:p>
        </w:tc>
      </w:tr>
    </w:tbl>
    <w:p>
      <w:pPr>
        <w:spacing w:after="120"/>
      </w:pPr>
    </w:p>
    <w:p>
      <w:pPr>
        <w:spacing w:after="100" w:before="0" w:line="276"/>
      </w:pPr>
      <w:r>
        <w:rPr>
          <w:rFonts w:ascii="Arial" w:cs="Arial" w:eastAsia="Arial" w:hAnsi="Arial"/>
          <w:color w:val="000000"/>
          <w:sz w:val="19"/>
          <w:szCs w:val="19"/>
        </w:rPr>
        <w:t xml:space="preserve">La regla de oro: </w:t>
      </w:r>
      <w:r>
        <w:rPr>
          <w:rFonts w:ascii="Arial" w:cs="Arial" w:eastAsia="Arial" w:hAnsi="Arial"/>
          <w:b/>
          <w:bCs/>
          <w:color w:val="000000"/>
          <w:sz w:val="19"/>
          <w:szCs w:val="19"/>
        </w:rPr>
        <w:t xml:space="preserve">el grabado es la verdad y la etiqueta es un puntero.</w:t>
      </w:r>
      <w:r>
        <w:rPr>
          <w:rFonts w:ascii="Arial" w:cs="Arial" w:eastAsia="Arial" w:hAnsi="Arial"/>
          <w:color w:val="000000"/>
          <w:sz w:val="19"/>
          <w:szCs w:val="19"/>
        </w:rPr>
        <w:t xml:space="preserve"> Si la etiqueta se pierde (repintado, IRAM 3517-2 9.10) el número sigue en el cuerpo y se reimprime el QR.</w:t>
      </w:r>
    </w:p>
    <w:p>
      <w:pPr>
        <w:pStyle w:val="Heading1"/>
        <w:keepNext/>
        <w:spacing w:after="120" w:before="240" w:line="276"/>
      </w:pPr>
      <w:r>
        <w:rPr>
          <w:rFonts w:ascii="Arial" w:cs="Arial" w:eastAsia="Arial" w:hAnsi="Arial"/>
          <w:color w:val="000000"/>
          <w:sz w:val="19"/>
          <w:szCs w:val="19"/>
        </w:rPr>
        <w:t xml:space="preserve">1. Forma y lugar del marcado</w:t>
      </w:r>
    </w:p>
    <w:p>
      <w:pPr>
        <w:pStyle w:val="Heading2"/>
        <w:keepNext/>
        <w:spacing w:after="80" w:before="180" w:line="276"/>
      </w:pPr>
      <w:r>
        <w:rPr>
          <w:rFonts w:ascii="Arial" w:cs="Arial" w:eastAsia="Arial" w:hAnsi="Arial"/>
          <w:color w:val="000000"/>
          <w:sz w:val="19"/>
          <w:szCs w:val="19"/>
        </w:rPr>
        <w:t xml:space="preserve">1.1 Qué pide la norma y qué se suma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15"/>
        <w:gridCol w:w="2477"/>
        <w:gridCol w:w="3714"/>
      </w:tblGrid>
      <w:tr>
        <w:trPr>
          <w:cantSplit/>
          <w:tblHeader/>
        </w:trPr>
        <w:tc>
          <w:tcPr>
            <w:tcW w:type="dxa" w:w="37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Requisito</w:t>
            </w:r>
          </w:p>
        </w:tc>
        <w:tc>
          <w:tcPr>
            <w:tcW w:type="dxa" w:w="2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37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cumple</w:t>
            </w:r>
          </w:p>
        </w:tc>
      </w:tr>
      <w:tr>
        <w:trPr>
          <w:cantSplit/>
        </w:trPr>
        <w:tc>
          <w:tcPr>
            <w:tcW w:type="dxa" w:w="3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Grabar fabricante, n° de recipiente y año (2 dígitos), en el recipiente o en un accesorio fijo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3523 5.1 (manuales); IRAM 3550 5.1 (carros)</w:t>
            </w:r>
          </w:p>
        </w:tc>
        <w:tc>
          <w:tcPr>
            <w:tcW w:type="dxa" w:w="37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Texto legible de 5 mm: «FLAMA S.A. · N° 26-000123 · 26»</w:t>
            </w:r>
          </w:p>
        </w:tc>
      </w:tr>
      <w:tr>
        <w:trPr>
          <w:cantSplit/>
        </w:trPr>
        <w:tc>
          <w:tcPr>
            <w:tcW w:type="dxa" w:w="3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Carros: además la presión de ensayo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3550 5.1</w:t>
            </w:r>
          </w:p>
        </w:tc>
        <w:tc>
          <w:tcPr>
            <w:tcW w:type="dxa" w:w="37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Segunda línea en la franja de carros (por eso 14 mm)</w:t>
            </w:r>
          </w:p>
        </w:tc>
      </w:tr>
      <w:tr>
        <w:trPr>
          <w:cantSplit/>
        </w:trPr>
        <w:tc>
          <w:tcPr>
            <w:tcW w:type="dxa" w:w="3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Tolerancia de ±3 meses en el cambio de año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3523 5.1</w:t>
            </w:r>
          </w:p>
        </w:tc>
        <w:tc>
          <w:tcPr>
            <w:tcW w:type="dxa" w:w="37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año grabado es el del corte</w:t>
            </w:r>
          </w:p>
        </w:tc>
      </w:tr>
      <w:tr>
        <w:trPr>
          <w:cantSplit/>
        </w:trPr>
        <w:tc>
          <w:tcPr>
            <w:tcW w:type="dxa" w:w="3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Cuño DPS de 1,5 × 0,7 cm al lado del n° de identificación, en la pollera u ojiva</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(PBA) anexo IV</w:t>
            </w:r>
          </w:p>
        </w:tc>
        <w:tc>
          <w:tcPr>
            <w:tcW w:type="dxa" w:w="37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Cuño en la misma franja, a la derecha del número</w:t>
            </w:r>
          </w:p>
        </w:tc>
      </w:tr>
      <w:tr>
        <w:trPr>
          <w:cantSplit/>
        </w:trPr>
        <w:tc>
          <w:tcPr>
            <w:tcW w:type="dxa" w:w="3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dañar la identificación</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art. 25 e)</w:t>
            </w:r>
          </w:p>
        </w:tc>
        <w:tc>
          <w:tcPr>
            <w:tcW w:type="dxa" w:w="37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Franja fuera de soldaduras; la faja va por encima</w:t>
            </w:r>
          </w:p>
        </w:tc>
      </w:tr>
      <w:tr>
        <w:trPr>
          <w:cantSplit/>
        </w:trPr>
        <w:tc>
          <w:tcPr>
            <w:tcW w:type="dxa" w:w="3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Faja verde de reserva o amarilla de sustituto (≤ 40 mm) sin tapar los datos grabados</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5.3 y 9.4.5 b)</w:t>
            </w:r>
          </w:p>
        </w:tc>
        <w:tc>
          <w:tcPr>
            <w:tcW w:type="dxa" w:w="37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faja se pega por encima de la franja grabada, nunca sobre ella</w:t>
            </w:r>
          </w:p>
        </w:tc>
      </w:tr>
      <w:tr>
        <w:trPr>
          <w:cantSplit/>
        </w:trPr>
        <w:tc>
          <w:tcPr>
            <w:tcW w:type="dxa" w:w="3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Sistema informatizado de seguimiento y trazabilidad del recargador; marcado con lápiz vibratorio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4.x aa) y bb)</w:t>
            </w:r>
          </w:p>
        </w:tc>
        <w:tc>
          <w:tcPr>
            <w:tcW w:type="dxa" w:w="37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de este documento; el grabado de servicio sigue en el tubo de pesca (Res. 349/07 art. 28/29)</w:t>
            </w:r>
          </w:p>
        </w:tc>
      </w:tr>
      <w:tr>
        <w:trPr>
          <w:cantSplit/>
        </w:trPr>
        <w:tc>
          <w:tcPr>
            <w:tcW w:type="dxa" w:w="3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 de serie en la etiqueta de servicio; registro de 6 años</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9.4.14 y 9.4.16</w:t>
            </w:r>
          </w:p>
        </w:tc>
        <w:tc>
          <w:tcPr>
            <w:tcW w:type="dxa" w:w="37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etiqueta lleva el QR del mismo serie; los eventos no se borran</w:t>
            </w:r>
          </w:p>
        </w:tc>
      </w:tr>
    </w:tbl>
    <w:p>
      <w:pPr>
        <w:spacing w:after="120"/>
      </w:pPr>
    </w:p>
    <w:p>
      <w:pPr>
        <w:spacing w:after="100" w:before="0" w:line="276"/>
      </w:pPr>
      <w:r>
        <w:rPr>
          <w:rFonts w:ascii="Arial" w:cs="Arial" w:eastAsia="Arial" w:hAnsi="Arial"/>
          <w:color w:val="000000"/>
          <w:sz w:val="19"/>
          <w:szCs w:val="19"/>
        </w:rPr>
        <w:t xml:space="preserve">Lo que se </w:t>
      </w:r>
      <w:r>
        <w:rPr>
          <w:rFonts w:ascii="Arial" w:cs="Arial" w:eastAsia="Arial" w:hAnsi="Arial"/>
          <w:b/>
          <w:bCs/>
          <w:color w:val="000000"/>
          <w:sz w:val="19"/>
          <w:szCs w:val="19"/>
        </w:rPr>
        <w:t xml:space="preserve">suma</w:t>
      </w:r>
      <w:r>
        <w:rPr>
          <w:rFonts w:ascii="Arial" w:cs="Arial" w:eastAsia="Arial" w:hAnsi="Arial"/>
          <w:color w:val="000000"/>
          <w:sz w:val="19"/>
          <w:szCs w:val="19"/>
        </w:rPr>
        <w:t xml:space="preserve"> sin reemplazar nada: un DataMatrix ECC 200 grabado al lado del texto, con el mismo número. La norma no fija tecnología (IRAM 3517-2 cap. 1 no restringe tecnologías nuevas); el código solo agrega lectura automática.</w:t>
      </w:r>
    </w:p>
    <w:p>
      <w:pPr>
        <w:pStyle w:val="Heading2"/>
        <w:keepNext/>
        <w:spacing w:after="80" w:before="180" w:line="276"/>
      </w:pPr>
      <w:r>
        <w:rPr>
          <w:rFonts w:ascii="Arial" w:cs="Arial" w:eastAsia="Arial" w:hAnsi="Arial"/>
          <w:color w:val="000000"/>
          <w:sz w:val="19"/>
          <w:szCs w:val="19"/>
        </w:rPr>
        <w:t xml:space="preserve">1.2 Contenido de la franja</w:t>
      </w:r>
    </w:p>
    <w:p>
      <w:pPr>
        <w:keepNext/>
        <w:spacing w:after="60"/>
        <w:jc w:val="center"/>
      </w:pPr>
      <w:r>
        <w:drawing>
          <wp:inline distT="0" distB="0" distL="0" distR="0">
            <wp:extent cx="59436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10096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Franja de marcado a escala: DataMatrix 18 × 18 celdas de 0,6 mm (10,8 mm), texto IRAM de 5 mm y cuño DPS 15 × 7 mm.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23"/>
        <w:gridCol w:w="4953"/>
        <w:gridCol w:w="2830"/>
      </w:tblGrid>
      <w:tr>
        <w:trPr>
          <w:cantSplit/>
          <w:tblHeader/>
        </w:trPr>
        <w:tc>
          <w:tcPr>
            <w:tcW w:type="dxa" w:w="21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Elemento</w:t>
            </w:r>
          </w:p>
        </w:tc>
        <w:tc>
          <w:tcPr>
            <w:tcW w:type="dxa" w:w="495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Contenido</w:t>
            </w:r>
          </w:p>
        </w:tc>
        <w:tc>
          <w:tcPr>
            <w:tcW w:type="dxa" w:w="283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Medida</w:t>
            </w:r>
          </w:p>
        </w:tc>
      </w:tr>
      <w:tr>
        <w:trPr>
          <w:cantSplit/>
        </w:trPr>
        <w:tc>
          <w:tcPr>
            <w:tcW w:type="dxa" w:w="2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DataMatrix ECC 200</w:t>
            </w:r>
          </w:p>
        </w:tc>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(01) GTIN del modelo + (21) serie «26000123» (formato GS1)</w:t>
            </w:r>
          </w:p>
        </w:tc>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18 × 18 celdas, 10,8 mm</w:t>
            </w:r>
          </w:p>
        </w:tc>
      </w:tr>
      <w:tr>
        <w:trPr>
          <w:cantSplit/>
        </w:trPr>
        <w:tc>
          <w:tcPr>
            <w:tcW w:type="dxa" w:w="2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Texto legible</w:t>
            </w:r>
          </w:p>
        </w:tc>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S.A. · N° 26-000123 · 26 (carros: + presión de ensayo)</w:t>
            </w:r>
          </w:p>
        </w:tc>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letra 5 mm</w:t>
            </w:r>
          </w:p>
        </w:tc>
      </w:tr>
      <w:tr>
        <w:trPr>
          <w:cantSplit/>
        </w:trPr>
        <w:tc>
          <w:tcPr>
            <w:tcW w:type="dxa" w:w="2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Cuño DPS</w:t>
            </w:r>
          </w:p>
        </w:tc>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según Res. 349/07 anexo IV</w:t>
            </w:r>
          </w:p>
        </w:tc>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 × 7 mm</w:t>
            </w:r>
          </w:p>
        </w:tc>
      </w:tr>
      <w:tr>
        <w:trPr>
          <w:cantSplit/>
        </w:trPr>
        <w:tc>
          <w:tcPr>
            <w:tcW w:type="dxa" w:w="2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Franja total</w:t>
            </w:r>
          </w:p>
        </w:tc>
        <w:tc>
          <w:tcPr>
            <w:tcW w:type="dxa" w:w="49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tres en línea</w:t>
            </w:r>
          </w:p>
        </w:tc>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128 × 12 mm (carros 14 mm)</w:t>
            </w:r>
          </w:p>
        </w:tc>
      </w:tr>
    </w:tbl>
    <w:p>
      <w:pPr>
        <w:spacing w:after="120"/>
      </w:pPr>
    </w:p>
    <w:p>
      <w:pPr>
        <w:spacing w:after="120" w:before="0" w:line="276"/>
      </w:pPr>
      <w:r>
        <w:rPr>
          <w:rFonts w:ascii="Arial" w:cs="Arial" w:eastAsia="Arial" w:hAnsi="Arial"/>
          <w:color w:val="595959"/>
          <w:sz w:val="16"/>
          <w:szCs w:val="16"/>
        </w:rPr>
        <w:t xml:space="preserve">El texto es el respaldo humano: si un lector no decodifica el DataMatrix, el operario tipea los 8 dígitos. GTIN requiere ser miembro de GS1 Argentina; sin GTIN el DataMatrix lleva solo el serie.</w:t>
      </w:r>
    </w:p>
    <w:p>
      <w:pPr>
        <w:pStyle w:val="Heading2"/>
        <w:keepNext/>
        <w:spacing w:after="80" w:before="180" w:line="276"/>
      </w:pPr>
      <w:r>
        <w:rPr>
          <w:rFonts w:ascii="Arial" w:cs="Arial" w:eastAsia="Arial" w:hAnsi="Arial"/>
          <w:color w:val="000000"/>
          <w:sz w:val="19"/>
          <w:szCs w:val="19"/>
        </w:rPr>
        <w:t xml:space="preserve">1.3 Ubicación por modelo</w:t>
      </w:r>
    </w:p>
    <w:p>
      <w:pPr>
        <w:keepNext/>
        <w:spacing w:after="60"/>
        <w:jc w:val="center"/>
      </w:pPr>
      <w:r>
        <w:drawing>
          <wp:inline distT="0" distB="0" distL="0" distR="0">
            <wp:extent cx="5943600" cy="2667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26670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Vista de frente de cada familia: franja adelante y abajo, a 180° de la costura longitudinal y debajo de la etiqueta.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67"/>
        <w:gridCol w:w="2304"/>
        <w:gridCol w:w="1497"/>
        <w:gridCol w:w="1382"/>
        <w:gridCol w:w="1958"/>
        <w:gridCol w:w="1498"/>
      </w:tblGrid>
      <w:tr>
        <w:trPr>
          <w:cantSplit/>
          <w:tblHeader/>
        </w:trPr>
        <w:tc>
          <w:tcPr>
            <w:tcW w:type="dxa" w:w="12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230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Zona</w:t>
            </w:r>
          </w:p>
        </w:tc>
        <w:tc>
          <w:tcPr>
            <w:tcW w:type="dxa" w:w="149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 (mm desde el borde inferior del cuerpo)</w:t>
            </w:r>
          </w:p>
        </w:tc>
        <w:tc>
          <w:tcPr>
            <w:tcW w:type="dxa" w:w="13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Profundidad (criterio)</w:t>
            </w:r>
          </w:p>
        </w:tc>
        <w:tc>
          <w:tcPr>
            <w:tcW w:type="dxa" w:w="195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Máquina y puesto</w:t>
            </w:r>
          </w:p>
        </w:tc>
        <w:tc>
          <w:tcPr>
            <w:tcW w:type="dxa" w:w="14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Cuándo</w:t>
            </w:r>
          </w:p>
        </w:tc>
      </w:tr>
      <w:tr>
        <w:trPr>
          <w:cantSplit/>
        </w:trPr>
        <w:tc>
          <w:tcPr>
            <w:tcW w:type="dxa" w:w="12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230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cuerpo bajo (no tiene pollera: el fondo va por fuera)</w:t>
            </w:r>
          </w:p>
        </w:tc>
        <w:tc>
          <w:tcPr>
            <w:tcW w:type="dxa" w:w="14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 27</w:t>
            </w:r>
          </w:p>
        </w:tc>
        <w:tc>
          <w:tcPr>
            <w:tcW w:type="dxa" w:w="13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 – 0,10 mm</w:t>
            </w:r>
          </w:p>
        </w:tc>
        <w:tc>
          <w:tcPr>
            <w:tcW w:type="dxa" w:w="19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 ADP120160D, salida de G2</w:t>
            </w:r>
          </w:p>
        </w:tc>
        <w:tc>
          <w:tcPr>
            <w:tcW w:type="dxa" w:w="14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plano, antes de cilindrar</w:t>
            </w:r>
          </w:p>
        </w:tc>
      </w:tr>
      <w:tr>
        <w:trPr>
          <w:cantSplit/>
        </w:trPr>
        <w:tc>
          <w:tcPr>
            <w:tcW w:type="dxa" w:w="12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30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(16 mm, sin presión)</w:t>
            </w:r>
          </w:p>
        </w:tc>
        <w:tc>
          <w:tcPr>
            <w:tcW w:type="dxa" w:w="14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13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 – 0,25 mm</w:t>
            </w:r>
          </w:p>
        </w:tc>
        <w:tc>
          <w:tcPr>
            <w:tcW w:type="dxa" w:w="19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 salida de G2</w:t>
            </w:r>
          </w:p>
        </w:tc>
        <w:tc>
          <w:tcPr>
            <w:tcW w:type="dxa" w:w="14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2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230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(21,5 mm)</w:t>
            </w:r>
          </w:p>
        </w:tc>
        <w:tc>
          <w:tcPr>
            <w:tcW w:type="dxa" w:w="14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4,5 – 16,5</w:t>
            </w:r>
          </w:p>
        </w:tc>
        <w:tc>
          <w:tcPr>
            <w:tcW w:type="dxa" w:w="13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 – 0,25 mm</w:t>
            </w:r>
          </w:p>
        </w:tc>
        <w:tc>
          <w:tcPr>
            <w:tcW w:type="dxa" w:w="19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 salida de G2</w:t>
            </w:r>
          </w:p>
        </w:tc>
        <w:tc>
          <w:tcPr>
            <w:tcW w:type="dxa" w:w="14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2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230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(16,5 mm)</w:t>
            </w:r>
          </w:p>
        </w:tc>
        <w:tc>
          <w:tcPr>
            <w:tcW w:type="dxa" w:w="14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13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 – 0,25 mm</w:t>
            </w:r>
          </w:p>
        </w:tc>
        <w:tc>
          <w:tcPr>
            <w:tcW w:type="dxa" w:w="19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 salida de G2</w:t>
            </w:r>
          </w:p>
        </w:tc>
        <w:tc>
          <w:tcPr>
            <w:tcW w:type="dxa" w:w="14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2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50 kg</w:t>
            </w:r>
          </w:p>
        </w:tc>
        <w:tc>
          <w:tcPr>
            <w:tcW w:type="dxa" w:w="230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cuerpo bajo (casquetes insertos, sin pollera)</w:t>
            </w:r>
          </w:p>
        </w:tc>
        <w:tc>
          <w:tcPr>
            <w:tcW w:type="dxa" w:w="14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 49</w:t>
            </w:r>
          </w:p>
        </w:tc>
        <w:tc>
          <w:tcPr>
            <w:tcW w:type="dxa" w:w="13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 mm</w:t>
            </w:r>
          </w:p>
        </w:tc>
        <w:tc>
          <w:tcPr>
            <w:tcW w:type="dxa" w:w="19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DTMAQ MPE 150130, puesto 2.1</w:t>
            </w:r>
          </w:p>
        </w:tc>
        <w:tc>
          <w:tcPr>
            <w:tcW w:type="dxa" w:w="14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2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 100 kg</w:t>
            </w:r>
          </w:p>
        </w:tc>
        <w:tc>
          <w:tcPr>
            <w:tcW w:type="dxa" w:w="230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cuerpo bajo</w:t>
            </w:r>
          </w:p>
        </w:tc>
        <w:tc>
          <w:tcPr>
            <w:tcW w:type="dxa" w:w="14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 49</w:t>
            </w:r>
          </w:p>
        </w:tc>
        <w:tc>
          <w:tcPr>
            <w:tcW w:type="dxa" w:w="13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 – 0,45 mm</w:t>
            </w:r>
          </w:p>
        </w:tc>
        <w:tc>
          <w:tcPr>
            <w:tcW w:type="dxa" w:w="19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DTMAQ MPE 150130, puesto 2.1</w:t>
            </w:r>
          </w:p>
        </w:tc>
        <w:tc>
          <w:tcPr>
            <w:tcW w:type="dxa" w:w="14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2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Cilindros y sustitutos</w:t>
            </w:r>
          </w:p>
        </w:tc>
        <w:tc>
          <w:tcPr>
            <w:tcW w:type="dxa" w:w="230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igual que su modelo</w:t>
            </w:r>
          </w:p>
        </w:tc>
        <w:tc>
          <w:tcPr>
            <w:tcW w:type="dxa" w:w="14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3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9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4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2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Revendidos y recargas de otras marcas</w:t>
            </w:r>
          </w:p>
        </w:tc>
        <w:tc>
          <w:tcPr>
            <w:tcW w:type="dxa" w:w="230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se graban: se respeta el marcado de su fabricante</w:t>
            </w:r>
          </w:p>
        </w:tc>
        <w:tc>
          <w:tcPr>
            <w:tcW w:type="dxa" w:w="149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3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95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con QR en la recepción</w:t>
            </w:r>
          </w:p>
        </w:tc>
        <w:tc>
          <w:tcPr>
            <w:tcW w:type="dxa" w:w="14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recibir</w:t>
            </w:r>
          </w:p>
        </w:tc>
      </w:tr>
    </w:tbl>
    <w:p>
      <w:pPr>
        <w:spacing w:after="120"/>
      </w:pPr>
    </w:p>
    <w:p>
      <w:pPr>
        <w:spacing w:after="100" w:before="0" w:line="276"/>
      </w:pPr>
      <w:r>
        <w:rPr>
          <w:rFonts w:ascii="Arial" w:cs="Arial" w:eastAsia="Arial" w:hAnsi="Arial"/>
          <w:color w:val="000000"/>
          <w:sz w:val="19"/>
          <w:szCs w:val="19"/>
        </w:rPr>
        <w:t xml:space="preserve">Por qué ahí: la costura longitudinal va atrás, la etiqueta adelante; la franja baja queda a la vista, lejos de la soldadura circunferencial y del encastre del fondo (alturas de los planos,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Para 1 kg y carros, que no tienen pollera, falta confirmar con la DPS si el cuerpo bajo vale como «pollera u ojiva»; si no, el cuño DPS y el número se repiten en la ojiva.</w:t>
      </w:r>
    </w:p>
    <w:p>
      <w:pPr>
        <w:pStyle w:val="Heading2"/>
        <w:keepNext/>
        <w:spacing w:after="80" w:before="180" w:line="276"/>
      </w:pPr>
      <w:r>
        <w:rPr>
          <w:rFonts w:ascii="Arial" w:cs="Arial" w:eastAsia="Arial" w:hAnsi="Arial"/>
          <w:color w:val="000000"/>
          <w:sz w:val="19"/>
          <w:szCs w:val="19"/>
        </w:rPr>
        <w:t xml:space="preserve">1.4 Profundidad</w:t>
      </w:r>
    </w:p>
    <w:p>
      <w:pPr>
        <w:keepNext/>
        <w:spacing w:after="60"/>
        <w:jc w:val="center"/>
      </w:pPr>
      <w:r>
        <w:drawing>
          <wp:inline distT="0" distB="0" distL="0" distR="0">
            <wp:extent cx="5943600" cy="20859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20859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Corte de la pared con la huella del punzón y la pintura de 70 µm (esquema).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4623"/>
        <w:gridCol w:w="1981"/>
      </w:tblGrid>
      <w:tr>
        <w:trPr>
          <w:cantSplit/>
          <w:tblHeader/>
        </w:trPr>
        <w:tc>
          <w:tcPr>
            <w:tcW w:type="dxa" w:w="330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Caso</w:t>
            </w:r>
          </w:p>
        </w:tc>
        <w:tc>
          <w:tcPr>
            <w:tcW w:type="dxa" w:w="46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Regla (criterio)</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Resultado</w:t>
            </w:r>
          </w:p>
        </w:tc>
      </w:tr>
      <w:tr>
        <w:trPr>
          <w:cantSplit/>
        </w:trPr>
        <w:tc>
          <w:tcPr>
            <w:tcW w:type="dxa" w:w="33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 pared a presión, e = 0,9 mm</w:t>
            </w:r>
          </w:p>
        </w:tc>
        <w:tc>
          <w:tcPr>
            <w:tcW w:type="dxa" w:w="46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 del espesor, y la PH al 100 % (se hace después del grabado) valida la pared ya marcada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 – 0,10 mm</w:t>
            </w:r>
          </w:p>
        </w:tc>
      </w:tr>
      <w:tr>
        <w:trPr>
          <w:cantSplit/>
        </w:trPr>
        <w:tc>
          <w:tcPr>
            <w:tcW w:type="dxa" w:w="33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10 kg: pollera sin presión</w:t>
            </w:r>
          </w:p>
        </w:tc>
        <w:tc>
          <w:tcPr>
            <w:tcW w:type="dxa" w:w="46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3 × el espesor de pintura (70 µm) para seguir legible tras varios repintados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 – 0,25 mm</w:t>
            </w:r>
          </w:p>
        </w:tc>
      </w:tr>
      <w:tr>
        <w:trPr>
          <w:cantSplit/>
        </w:trPr>
        <w:tc>
          <w:tcPr>
            <w:tcW w:type="dxa" w:w="33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Carros 25 / 50 kg, e = 3,2</w:t>
            </w:r>
          </w:p>
        </w:tc>
        <w:tc>
          <w:tcPr>
            <w:tcW w:type="dxa" w:w="46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 de e (0,32) y ≥ 3 × pintura (0,21)</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 mm</w:t>
            </w:r>
          </w:p>
        </w:tc>
      </w:tr>
      <w:tr>
        <w:trPr>
          <w:cantSplit/>
        </w:trPr>
        <w:tc>
          <w:tcPr>
            <w:tcW w:type="dxa" w:w="33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Carros 70 / 100 kg, e = 4,75</w:t>
            </w:r>
          </w:p>
        </w:tc>
        <w:tc>
          <w:tcPr>
            <w:tcW w:type="dxa" w:w="46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 de e (0,475) y ≥ 3 × pintura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 – 0,45 mm</w:t>
            </w:r>
          </w:p>
        </w:tc>
      </w:tr>
    </w:tbl>
    <w:p>
      <w:pPr>
        <w:spacing w:after="120"/>
      </w:pPr>
    </w:p>
    <w:p>
      <w:pPr>
        <w:spacing w:after="100" w:before="0" w:line="276"/>
      </w:pPr>
      <w:r>
        <w:rPr>
          <w:rFonts w:ascii="Arial" w:cs="Arial" w:eastAsia="Arial" w:hAnsi="Arial"/>
          <w:color w:val="000000"/>
          <w:sz w:val="19"/>
          <w:szCs w:val="19"/>
        </w:rPr>
        <w:t xml:space="preserve">La Pannier ADP120160D graba texto, logos y códigos 2D en una ventana de 120 × 160 mm y su fabricante la ofrece para marcas profundas legibles después de granallado y pintura (</w:t>
      </w:r>
      <w:hyperlink w:history="1" r:id="rIdwthk3d9d_v6p_w3rxovyk">
        <w:r>
          <w:rPr>
            <w:rFonts w:ascii="Arial" w:cs="Arial" w:eastAsia="Arial" w:hAnsi="Arial"/>
            <w:color w:val="1F1F1F"/>
            <w:sz w:val="19"/>
            <w:szCs w:val="19"/>
            <w:u w:val="single"/>
          </w:rPr>
          <w:t xml:space="preserve">ficha</w:t>
        </w:r>
      </w:hyperlink>
      <w:r>
        <w:rPr>
          <w:rFonts w:ascii="Arial" w:cs="Arial" w:eastAsia="Arial" w:hAnsi="Arial"/>
          <w:color w:val="000000"/>
          <w:sz w:val="19"/>
          <w:szCs w:val="19"/>
        </w:rPr>
        <w:t xml:space="preserve">); lo mismo reportan </w:t>
      </w:r>
      <w:hyperlink w:history="1" r:id="rIdstzykdvz3btegecojbm_4">
        <w:r>
          <w:rPr>
            <w:rFonts w:ascii="Arial" w:cs="Arial" w:eastAsia="Arial" w:hAnsi="Arial"/>
            <w:color w:val="1F1F1F"/>
            <w:sz w:val="19"/>
            <w:szCs w:val="19"/>
            <w:u w:val="single"/>
          </w:rPr>
          <w:t xml:space="preserve">The Fabricator</w:t>
        </w:r>
      </w:hyperlink>
      <w:r>
        <w:rPr>
          <w:rFonts w:ascii="Arial" w:cs="Arial" w:eastAsia="Arial" w:hAnsi="Arial"/>
          <w:color w:val="000000"/>
          <w:sz w:val="19"/>
          <w:szCs w:val="19"/>
        </w:rPr>
        <w:t xml:space="preserve"> y </w:t>
      </w:r>
      <w:hyperlink w:history="1" r:id="rIdb4g3z_ogwf74zb7aoacmf">
        <w:r>
          <w:rPr>
            <w:rFonts w:ascii="Arial" w:cs="Arial" w:eastAsia="Arial" w:hAnsi="Arial"/>
            <w:color w:val="1F1F1F"/>
            <w:sz w:val="19"/>
            <w:szCs w:val="19"/>
            <w:u w:val="single"/>
          </w:rPr>
          <w:t xml:space="preserve">Protocase</w:t>
        </w:r>
      </w:hyperlink>
      <w:r>
        <w:rPr>
          <w:rFonts w:ascii="Arial" w:cs="Arial" w:eastAsia="Arial" w:hAnsi="Arial"/>
          <w:color w:val="000000"/>
          <w:sz w:val="19"/>
          <w:szCs w:val="19"/>
        </w:rPr>
        <w:t xml:space="preserve"> para micropercusión bajo recubrimiento. El láser también sirve (</w:t>
      </w:r>
      <w:hyperlink w:history="1" r:id="rId4ywv6iz7omt4mjrxbdfbr">
        <w:r>
          <w:rPr>
            <w:rFonts w:ascii="Arial" w:cs="Arial" w:eastAsia="Arial" w:hAnsi="Arial"/>
            <w:color w:val="1F1F1F"/>
            <w:sz w:val="19"/>
            <w:szCs w:val="19"/>
            <w:u w:val="single"/>
          </w:rPr>
          <w:t xml:space="preserve">Keyence</w:t>
        </w:r>
      </w:hyperlink>
      <w:r>
        <w:rPr>
          <w:rFonts w:ascii="Arial" w:cs="Arial" w:eastAsia="Arial" w:hAnsi="Arial"/>
          <w:color w:val="000000"/>
          <w:sz w:val="19"/>
          <w:szCs w:val="19"/>
        </w:rPr>
        <w:t xml:space="preserve">) pero sería una máquina nueva.</w:t>
      </w:r>
    </w:p>
    <w:p>
      <w:pPr>
        <w:pStyle w:val="Heading2"/>
        <w:keepNext/>
        <w:spacing w:after="80" w:before="180" w:line="276"/>
      </w:pPr>
      <w:r>
        <w:rPr>
          <w:rFonts w:ascii="Arial" w:cs="Arial" w:eastAsia="Arial" w:hAnsi="Arial"/>
          <w:color w:val="000000"/>
          <w:sz w:val="19"/>
          <w:szCs w:val="19"/>
        </w:rPr>
        <w:t xml:space="preserve">1.5 Dónde se graba: la planchuela plana</w:t>
      </w:r>
    </w:p>
    <w:p>
      <w:pPr>
        <w:keepNext/>
        <w:spacing w:after="60"/>
        <w:jc w:val="center"/>
      </w:pPr>
      <w:r>
        <w:drawing>
          <wp:inline distT="0" distB="0" distL="0" distR="0">
            <wp:extent cx="4676775" cy="2314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676775" cy="23145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Planchuela del 5 kg a la salida de la guillotina 2: la mesa de la Pannier tiene topes en el borde inferior y en un borde de costura.</w:t>
      </w:r>
    </w:p>
    <w:p>
      <w:pPr>
        <w:spacing w:after="100" w:before="0" w:line="276"/>
      </w:pPr>
      <w:r>
        <w:rPr>
          <w:rFonts w:ascii="Arial" w:cs="Arial" w:eastAsia="Arial" w:hAnsi="Arial"/>
          <w:color w:val="000000"/>
          <w:sz w:val="19"/>
          <w:szCs w:val="19"/>
        </w:rPr>
        <w:t xml:space="preserve">La Pannier se muda del puesto 6 «Numerado de cúpula» a la salida de G2. La franja cae siempre a desarrollo / 2 del borde de costura, o sea adelante una vez cilindrado. Grabar en plano es más rápido y repetible que en un cuerpo curvo, y el serie nace atado a la hoja y al lote de chapa. Al cilindrar, el DataMatrix de 10,8 mm queda sobre Ø 76 a 390 mm: la curvatura es chica frente al código.</w:t>
      </w:r>
    </w:p>
    <w:p>
      <w:pPr>
        <w:pStyle w:val="Heading2"/>
        <w:keepNext/>
        <w:spacing w:after="80" w:before="180" w:line="276"/>
      </w:pPr>
      <w:r>
        <w:rPr>
          <w:rFonts w:ascii="Arial" w:cs="Arial" w:eastAsia="Arial" w:hAnsi="Arial"/>
          <w:color w:val="000000"/>
          <w:sz w:val="19"/>
          <w:szCs w:val="19"/>
        </w:rPr>
        <w:t xml:space="preserve">1.6 Ensayo de validación (antes de cambiar planos)</w:t>
      </w:r>
    </w:p>
    <w:p>
      <w:pPr>
        <w:spacing w:after="100" w:before="0" w:line="276"/>
      </w:pPr>
      <w:r>
        <w:rPr>
          <w:rFonts w:ascii="Arial" w:cs="Arial" w:eastAsia="Arial" w:hAnsi="Arial"/>
          <w:color w:val="000000"/>
          <w:sz w:val="19"/>
          <w:szCs w:val="19"/>
        </w:rPr>
        <w:t xml:space="preserve">Una tanda por espesor (0,9 · 1,25 · 1,6 · 2,0 · 3,2 · 4,75): </w:t>
      </w:r>
      <w:r>
        <w:rPr>
          <w:rFonts w:ascii="Arial" w:cs="Arial" w:eastAsia="Arial" w:hAnsi="Arial"/>
          <w:b/>
          <w:bCs/>
          <w:color w:val="000000"/>
          <w:sz w:val="19"/>
          <w:szCs w:val="19"/>
        </w:rPr>
        <w:t xml:space="preserve">grabar → cilindrar → soldar → PH → granallar → pintar → leer</w:t>
      </w:r>
      <w:r>
        <w:rPr>
          <w:rFonts w:ascii="Arial" w:cs="Arial" w:eastAsia="Arial" w:hAnsi="Arial"/>
          <w:color w:val="000000"/>
          <w:sz w:val="19"/>
          <w:szCs w:val="19"/>
        </w:rPr>
        <w:t xml:space="preserve">, y una segunda pintura encima para simular un repintado. Se aprueba si el texto se lee a simple vista, el DataMatrix decodifica con el lector elegido y la PH no muestra deformación en la franja. Con eso se fijan las profundidades de la tabla, que hoy son criterio.</w:t>
      </w:r>
    </w:p>
    <w:p>
      <w:pPr>
        <w:pStyle w:val="Heading1"/>
        <w:keepNext/>
        <w:spacing w:after="120" w:before="240" w:line="276"/>
      </w:pPr>
      <w:r>
        <w:rPr>
          <w:rFonts w:ascii="Arial" w:cs="Arial" w:eastAsia="Arial" w:hAnsi="Arial"/>
          <w:color w:val="000000"/>
          <w:sz w:val="19"/>
          <w:szCs w:val="19"/>
        </w:rPr>
        <w:t xml:space="preserve">2. Trazabilidad intraplanta: del grabado al embalado (y a la inutilización)</w:t>
      </w:r>
    </w:p>
    <w:p>
      <w:pPr>
        <w:keepNext/>
        <w:spacing w:after="60"/>
        <w:jc w:val="center"/>
      </w:pPr>
      <w:r>
        <w:drawing>
          <wp:inline distT="0" distB="0" distL="0" distR="0">
            <wp:extent cx="5943600" cy="24384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24384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Estados del recipiente. Cada flecha es una lectura del grabado; las compuertas (GATE) bloquean el paso si la ficha no se cumple.</w:t>
      </w:r>
    </w:p>
    <w:p>
      <w:pPr>
        <w:pStyle w:val="Heading2"/>
        <w:keepNext/>
        <w:spacing w:after="80" w:before="180" w:line="276"/>
      </w:pPr>
      <w:r>
        <w:rPr>
          <w:rFonts w:ascii="Arial" w:cs="Arial" w:eastAsia="Arial" w:hAnsi="Arial"/>
          <w:color w:val="000000"/>
          <w:sz w:val="19"/>
          <w:szCs w:val="19"/>
        </w:rPr>
        <w:t xml:space="preserve">2.1 La estación barata de cada puesto</w:t>
      </w:r>
    </w:p>
    <w:p>
      <w:pPr>
        <w:spacing w:after="100" w:before="0" w:line="276"/>
      </w:pPr>
      <w:r>
        <w:rPr>
          <w:rFonts w:ascii="Arial" w:cs="Arial" w:eastAsia="Arial" w:hAnsi="Arial"/>
          <w:color w:val="000000"/>
          <w:sz w:val="19"/>
          <w:szCs w:val="19"/>
        </w:rPr>
        <w:t xml:space="preserve">Cada puesto tiene lo mismo, y es lo que pediste: un lugar donde se completan las especificaciones y la situación del equipo, y que va armando su historial de producción.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01"/>
        <w:gridCol w:w="4803"/>
        <w:gridCol w:w="3002"/>
      </w:tblGrid>
      <w:tr>
        <w:trPr>
          <w:cantSplit/>
          <w:tblHeader/>
        </w:trPr>
        <w:tc>
          <w:tcPr>
            <w:tcW w:type="dxa" w:w="21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Componente</w:t>
            </w:r>
          </w:p>
        </w:tc>
        <w:tc>
          <w:tcPr>
            <w:tcW w:type="dxa" w:w="480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es</w:t>
            </w:r>
          </w:p>
        </w:tc>
        <w:tc>
          <w:tcPr>
            <w:tcW w:type="dxa" w:w="300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qué</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o tablet Android en un soporte</w:t>
            </w:r>
          </w:p>
        </w:tc>
        <w:tc>
          <w:tcPr>
            <w:tcW w:type="dxa" w:w="48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pantalla del puesto</w:t>
            </w:r>
          </w:p>
        </w:tc>
        <w:tc>
          <w:tcPr>
            <w:tcW w:type="dxa" w:w="30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Barato y reemplazable</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w:t>
            </w:r>
          </w:p>
        </w:tc>
        <w:tc>
          <w:tcPr>
            <w:tcW w:type="dxa" w:w="48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cámara del celular (librería </w:t>
            </w:r>
            <w:hyperlink w:history="1" r:id="rIdx2xylsx1kiuj_oaqkuji3">
              <w:r>
                <w:rPr>
                  <w:rFonts w:ascii="Arial" w:cs="Arial" w:eastAsia="Arial" w:hAnsi="Arial"/>
                  <w:color w:val="1F1F1F"/>
                  <w:sz w:val="16"/>
                  <w:szCs w:val="16"/>
                  <w:u w:val="single"/>
                </w:rPr>
                <w:t xml:space="preserve">zxing-cpp</w:t>
              </w:r>
            </w:hyperlink>
            <w:r>
              <w:rPr>
                <w:rFonts w:ascii="Arial" w:cs="Arial" w:eastAsia="Arial" w:hAnsi="Arial"/>
                <w:b w:val="false"/>
                <w:bCs w:val="false"/>
                <w:color w:val="000000"/>
                <w:sz w:val="16"/>
                <w:szCs w:val="16"/>
              </w:rPr>
              <w:t xml:space="preserve"> o </w:t>
            </w:r>
            <w:hyperlink w:history="1" r:id="rIdfxwkkla_ehdcgcf-4-6sj">
              <w:r>
                <w:rPr>
                  <w:rFonts w:ascii="Arial" w:cs="Arial" w:eastAsia="Arial" w:hAnsi="Arial"/>
                  <w:color w:val="1F1F1F"/>
                  <w:sz w:val="16"/>
                  <w:szCs w:val="16"/>
                  <w:u w:val="single"/>
                </w:rPr>
                <w:t xml:space="preserve">libdmtx</w:t>
              </w:r>
            </w:hyperlink>
            <w:r>
              <w:rPr>
                <w:rFonts w:ascii="Arial" w:cs="Arial" w:eastAsia="Arial" w:hAnsi="Arial"/>
                <w:b w:val="false"/>
                <w:bCs w:val="false"/>
                <w:color w:val="000000"/>
                <w:sz w:val="16"/>
                <w:szCs w:val="16"/>
              </w:rPr>
              <w:t xml:space="preserve">); lector DPM de mano solo donde la cámara no lea (después de pintar, a definir en el ensayo 1.6)</w:t>
            </w:r>
          </w:p>
        </w:tc>
        <w:tc>
          <w:tcPr>
            <w:tcW w:type="dxa" w:w="30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código grabado tiene poco contraste; el lector DPM está hecho para eso</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w:t>
            </w:r>
          </w:p>
        </w:tc>
        <w:tc>
          <w:tcPr>
            <w:tcW w:type="dxa" w:w="48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AppSheet sobre Google Sheets (FLAMA ya trabaja en Sheets con IMPORTRANGE); funciona sin conexión y sincroniza</w:t>
            </w:r>
          </w:p>
        </w:tc>
        <w:tc>
          <w:tcPr>
            <w:tcW w:type="dxa" w:w="30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programar ni servidores; se arma por formularios</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 del modelo</w:t>
            </w:r>
          </w:p>
        </w:tc>
        <w:tc>
          <w:tcPr>
            <w:tcW w:type="dxa" w:w="48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Tabla FICHAS: por modelo y puesto, parámetro, mínimo, máximo, unidad y norma</w:t>
            </w:r>
          </w:p>
        </w:tc>
        <w:tc>
          <w:tcPr>
            <w:tcW w:type="dxa" w:w="30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operario ve lo que tiene que cumplir el equipo que tiene en la mano</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Respaldo</w:t>
            </w:r>
          </w:p>
        </w:tc>
        <w:tc>
          <w:tcPr>
            <w:tcW w:type="dxa" w:w="48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Tipear el número grabado</w:t>
            </w:r>
          </w:p>
        </w:tc>
        <w:tc>
          <w:tcPr>
            <w:tcW w:type="dxa" w:w="30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Nunca se frena la línea por un lector</w:t>
            </w:r>
          </w:p>
        </w:tc>
      </w:tr>
    </w:tbl>
    <w:p>
      <w:pPr>
        <w:spacing w:after="120"/>
      </w:pPr>
    </w:p>
    <w:p>
      <w:pPr>
        <w:spacing w:after="100" w:before="0" w:line="276"/>
      </w:pPr>
      <w:r>
        <w:rPr>
          <w:rFonts w:ascii="Arial" w:cs="Arial" w:eastAsia="Arial" w:hAnsi="Arial"/>
          <w:b/>
          <w:bCs/>
          <w:color w:val="000000"/>
          <w:sz w:val="19"/>
          <w:szCs w:val="19"/>
        </w:rPr>
        <w:t xml:space="preserve">Cómo trabaja el operario:</w:t>
      </w:r>
      <w:r>
        <w:rPr>
          <w:rFonts w:ascii="Arial" w:cs="Arial" w:eastAsia="Arial" w:hAnsi="Arial"/>
          <w:color w:val="000000"/>
          <w:sz w:val="19"/>
          <w:szCs w:val="19"/>
        </w:rPr>
        <w:t xml:space="preserve"> lee el grabado → la app muestra modelo, estado y la ficha del puesto → completa los valores (o los toma la balanza o el banco de PH) → la app compara con mínimo y máximo → si cumple, el equipo pasa al estado siguiente; si no, pide motivo y foto y lo manda a RECHAZO (retrabajo o ANULADO). Lo mismo arma la </w:t>
      </w:r>
      <w:r>
        <w:rPr>
          <w:rFonts w:ascii="Arial" w:cs="Arial" w:eastAsia="Arial" w:hAnsi="Arial"/>
          <w:b/>
          <w:bCs/>
          <w:color w:val="000000"/>
          <w:sz w:val="19"/>
          <w:szCs w:val="19"/>
        </w:rPr>
        <w:t xml:space="preserve">ficha del equipo</w:t>
      </w:r>
      <w:r>
        <w:rPr>
          <w:rFonts w:ascii="Arial" w:cs="Arial" w:eastAsia="Arial" w:hAnsi="Arial"/>
          <w:color w:val="000000"/>
          <w:sz w:val="19"/>
          <w:szCs w:val="19"/>
        </w:rPr>
        <w:t xml:space="preserve">: por cada parámetro, especificado, real y «cumple».</w:t>
      </w:r>
    </w:p>
    <w:p>
      <w:pPr>
        <w:pStyle w:val="Heading2"/>
        <w:keepNext/>
        <w:spacing w:after="80" w:before="180" w:line="276"/>
      </w:pPr>
      <w:r>
        <w:rPr>
          <w:rFonts w:ascii="Arial" w:cs="Arial" w:eastAsia="Arial" w:hAnsi="Arial"/>
          <w:color w:val="000000"/>
          <w:sz w:val="19"/>
          <w:szCs w:val="19"/>
        </w:rPr>
        <w:t xml:space="preserve">2.2 Manuales: qué se registra en cada puesto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64"/>
        <w:gridCol w:w="3396"/>
        <w:gridCol w:w="2547"/>
        <w:gridCol w:w="1699"/>
      </w:tblGrid>
      <w:tr>
        <w:trPr>
          <w:cantSplit/>
          <w:tblHeader/>
        </w:trPr>
        <w:tc>
          <w:tcPr>
            <w:tcW w:type="dxa" w:w="22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33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Lectura y registro</w:t>
            </w:r>
          </w:p>
        </w:tc>
        <w:tc>
          <w:tcPr>
            <w:tcW w:type="dxa" w:w="25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Ficha (qué se controla)</w:t>
            </w:r>
          </w:p>
        </w:tc>
        <w:tc>
          <w:tcPr>
            <w:tcW w:type="dxa" w:w="16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Estado</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Recepción de chapa</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colada, certificado del proveedor</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y calidad del certificado</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disponible</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Corte G2 + Pannier</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nace el serie</w:t>
            </w:r>
            <w:r>
              <w:rPr>
                <w:rFonts w:ascii="Arial" w:cs="Arial" w:eastAsia="Arial" w:hAnsi="Arial"/>
                <w:b w:val="false"/>
                <w:bCs w:val="false"/>
                <w:color w:val="000000"/>
                <w:sz w:val="16"/>
                <w:szCs w:val="16"/>
              </w:rPr>
              <w:t xml:space="preserve">: modelo, hoja, lote de chapa, fecha; la app verifica que el DataMatrix recién grabado se lea</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medidas de la planchuela, lectura OK</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CORTADO y GRABADO</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a 7 Cúpula y cuello</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lote (carro de cúpulas = lote; ya no se numera la cúpula)</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embutido y soldadura de cuello</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cúpulas</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Cilindrado · 9 Soldadura longitudinal</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soldador o máquina, lote de alambre y gas</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modelo = matriz seteada</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CONFORMADO</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Encastre · 11 Bordoneado · 12 Soldadura circunferencial</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agregación:</w:t>
            </w:r>
            <w:r>
              <w:rPr>
                <w:rFonts w:ascii="Arial" w:cs="Arial" w:eastAsia="Arial" w:hAnsi="Arial"/>
                <w:b w:val="false"/>
                <w:bCs w:val="false"/>
                <w:color w:val="000000"/>
                <w:sz w:val="16"/>
                <w:szCs w:val="16"/>
              </w:rPr>
              <w:t xml:space="preserve"> serie ← lote de cúpula ← lote de fondo</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parámetros de soldadura</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CONFORMADO</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Control de espesor</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espesores medidos</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mínimo de la ficha</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Prueba hidráulica</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tiempo, resultado (lo toma el banco)</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de ensayo de la norma; falla → ANULADO</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r>
              <w:rPr>
                <w:rFonts w:ascii="Arial" w:cs="Arial" w:eastAsia="Arial" w:hAnsi="Arial"/>
                <w:b w:val="false"/>
                <w:bCs w:val="false"/>
                <w:color w:val="000000"/>
                <w:sz w:val="16"/>
                <w:szCs w:val="16"/>
              </w:rPr>
              <w:t xml:space="preserve"> → PROBADO</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 Secado · 16 Granallado</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tiempos</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PROBADO</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17 Detección de defectos · 18 Corrección</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(visión, ver 2.4) y decisión del operario</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poros ni golpes</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PROBADO</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19 Pintura (cuelgue)</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pintura, temperatura del horno</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de película</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TERMINADO</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19 Descarga</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cilindros vacíos → embalaje directo</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TERMINADO</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 a 22 Carga, ensamblaje, presurización</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polvo, masa (balanza), válvula y manómetro, presión</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y presión de la ficha</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CARGADO</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 Pérdidas</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resultado del ensayo</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r>
              <w:rPr>
                <w:rFonts w:ascii="Arial" w:cs="Arial" w:eastAsia="Arial" w:hAnsi="Arial"/>
                <w:b w:val="false"/>
                <w:bCs w:val="false"/>
                <w:color w:val="000000"/>
                <w:sz w:val="16"/>
                <w:szCs w:val="16"/>
              </w:rPr>
              <w:t xml:space="preserve"> → APROBADO</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Etiquetado</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imprime la etiqueta con el QR </w:t>
            </w:r>
            <w:r>
              <w:rPr>
                <w:rFonts w:ascii="Arial" w:cs="Arial" w:eastAsia="Arial" w:hAnsi="Arial"/>
                <w:b/>
                <w:bCs/>
                <w:color w:val="000000"/>
                <w:sz w:val="16"/>
                <w:szCs w:val="16"/>
              </w:rPr>
              <w:t xml:space="preserve">leyendo el grabado</w:t>
            </w:r>
            <w:r>
              <w:rPr>
                <w:rFonts w:ascii="Arial" w:cs="Arial" w:eastAsia="Arial" w:hAnsi="Arial"/>
                <w:b w:val="false"/>
                <w:bCs w:val="false"/>
                <w:color w:val="000000"/>
                <w:sz w:val="16"/>
                <w:szCs w:val="16"/>
              </w:rPr>
              <w:t xml:space="preserve">; sello IRAM, oblea, precinto</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grabado</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r>
              <w:rPr>
                <w:rFonts w:ascii="Arial" w:cs="Arial" w:eastAsia="Arial" w:hAnsi="Arial"/>
                <w:b w:val="false"/>
                <w:bCs w:val="false"/>
                <w:color w:val="000000"/>
                <w:sz w:val="16"/>
                <w:szCs w:val="16"/>
              </w:rPr>
              <w:t xml:space="preserve"> → IDENTIFICADO</w:t>
            </w:r>
          </w:p>
        </w:tc>
      </w:tr>
      <w:tr>
        <w:trPr>
          <w:cantSplit/>
        </w:trPr>
        <w:tc>
          <w:tcPr>
            <w:tcW w:type="dxa" w:w="22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Embalaje</w:t>
            </w:r>
          </w:p>
        </w:tc>
        <w:tc>
          <w:tcPr>
            <w:tcW w:type="dxa" w:w="33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 caja → pallet (SSCC)</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cantidad del pallet</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EMBALADO</w:t>
            </w:r>
          </w:p>
        </w:tc>
      </w:tr>
    </w:tbl>
    <w:p>
      <w:pPr>
        <w:spacing w:after="120"/>
      </w:pPr>
    </w:p>
    <w:p>
      <w:pPr>
        <w:pStyle w:val="Heading2"/>
        <w:keepNext/>
        <w:spacing w:after="80" w:before="180" w:line="276"/>
      </w:pPr>
      <w:r>
        <w:rPr>
          <w:rFonts w:ascii="Arial" w:cs="Arial" w:eastAsia="Arial" w:hAnsi="Arial"/>
          <w:color w:val="000000"/>
          <w:sz w:val="19"/>
          <w:szCs w:val="19"/>
        </w:rPr>
        <w:t xml:space="preserve">2.3 Carros: diferencias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5095"/>
        <w:gridCol w:w="1981"/>
      </w:tblGrid>
      <w:tr>
        <w:trPr>
          <w:cantSplit/>
          <w:tblHeader/>
        </w:trPr>
        <w:tc>
          <w:tcPr>
            <w:tcW w:type="dxa" w:w="283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50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Lectura y registro</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Estado</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Corte + 2.1 Marcado del cuerpo</w:t>
            </w:r>
          </w:p>
        </w:tc>
        <w:tc>
          <w:tcPr>
            <w:tcW w:type="dxa" w:w="50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nace el serie (DTMAQ MPE 150130, confirmar DataMatrix con el proveedor)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CORTADO y GRABADO</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a 8 Cilindrado, punteo, soldaduras, cupla, accesorios</w:t>
            </w:r>
          </w:p>
        </w:tc>
        <w:tc>
          <w:tcPr>
            <w:tcW w:type="dxa" w:w="50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soldador, lotes de casquetes, ruedas y accesorios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CONFORMADO</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Prueba hidráulica · 10 Secado</w:t>
            </w:r>
          </w:p>
        </w:tc>
        <w:tc>
          <w:tcPr>
            <w:tcW w:type="dxa" w:w="50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tiempo, resultado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r>
              <w:rPr>
                <w:rFonts w:ascii="Arial" w:cs="Arial" w:eastAsia="Arial" w:hAnsi="Arial"/>
                <w:b w:val="false"/>
                <w:bCs w:val="false"/>
                <w:color w:val="000000"/>
                <w:sz w:val="16"/>
                <w:szCs w:val="16"/>
              </w:rPr>
              <w:t xml:space="preserve"> → PROBADO</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11 Pulmón a pintura tercerizada</w:t>
            </w:r>
          </w:p>
        </w:tc>
        <w:tc>
          <w:tcPr>
            <w:tcW w:type="dxa" w:w="50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doble lectura </w:t>
            </w:r>
            <w:r>
              <w:rPr>
                <w:rFonts w:ascii="Arial" w:cs="Arial" w:eastAsia="Arial" w:hAnsi="Arial"/>
                <w:b/>
                <w:bCs/>
                <w:color w:val="000000"/>
                <w:sz w:val="16"/>
                <w:szCs w:val="16"/>
              </w:rPr>
              <w:t xml:space="preserve">sale</w:t>
            </w:r>
            <w:r>
              <w:rPr>
                <w:rFonts w:ascii="Arial" w:cs="Arial" w:eastAsia="Arial" w:hAnsi="Arial"/>
                <w:b w:val="false"/>
                <w:bCs w:val="false"/>
                <w:color w:val="000000"/>
                <w:sz w:val="16"/>
                <w:szCs w:val="16"/>
              </w:rPr>
              <w:t xml:space="preserve">: lista del envío al pintor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PINTOR</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 Recepción de pintados</w:t>
            </w:r>
          </w:p>
        </w:tc>
        <w:tc>
          <w:tcPr>
            <w:tcW w:type="dxa" w:w="50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doble lectura </w:t>
            </w:r>
            <w:r>
              <w:rPr>
                <w:rFonts w:ascii="Arial" w:cs="Arial" w:eastAsia="Arial" w:hAnsi="Arial"/>
                <w:b/>
                <w:bCs/>
                <w:color w:val="000000"/>
                <w:sz w:val="16"/>
                <w:szCs w:val="16"/>
              </w:rPr>
              <w:t xml:space="preserve">entra</w:t>
            </w:r>
            <w:r>
              <w:rPr>
                <w:rFonts w:ascii="Arial" w:cs="Arial" w:eastAsia="Arial" w:hAnsi="Arial"/>
                <w:b w:val="false"/>
                <w:bCs w:val="false"/>
                <w:color w:val="000000"/>
                <w:sz w:val="16"/>
                <w:szCs w:val="16"/>
              </w:rPr>
              <w:t xml:space="preserve">: la app compara contra la lista enviada y marca faltantes; rechazados del pintor con foto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TERMINADO</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Carga · 14 Pérdidas</w:t>
            </w:r>
          </w:p>
        </w:tc>
        <w:tc>
          <w:tcPr>
            <w:tcW w:type="dxa" w:w="50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agente, masa, presión; ensayo de pérdidas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r>
              <w:rPr>
                <w:rFonts w:ascii="Arial" w:cs="Arial" w:eastAsia="Arial" w:hAnsi="Arial"/>
                <w:b w:val="false"/>
                <w:bCs w:val="false"/>
                <w:color w:val="000000"/>
                <w:sz w:val="16"/>
                <w:szCs w:val="16"/>
              </w:rPr>
              <w:t xml:space="preserve"> → APROBADO</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 Etiquetado e inspección final</w:t>
            </w:r>
          </w:p>
        </w:tc>
        <w:tc>
          <w:tcPr>
            <w:tcW w:type="dxa" w:w="50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grabado; foto de control final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GATE</w:t>
            </w:r>
            <w:r>
              <w:rPr>
                <w:rFonts w:ascii="Arial" w:cs="Arial" w:eastAsia="Arial" w:hAnsi="Arial"/>
                <w:b w:val="false"/>
                <w:bCs w:val="false"/>
                <w:color w:val="000000"/>
                <w:sz w:val="16"/>
                <w:szCs w:val="16"/>
              </w:rPr>
              <w:t xml:space="preserve"> → IDENTIFICADO</w:t>
            </w:r>
          </w:p>
        </w:tc>
      </w:tr>
      <w:tr>
        <w:trPr>
          <w:cantSplit/>
        </w:trPr>
        <w:tc>
          <w:tcPr>
            <w:tcW w:type="dxa" w:w="2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16 Depósito PT · 17 Ensayos de lote</w:t>
            </w:r>
          </w:p>
        </w:tc>
        <w:tc>
          <w:tcPr>
            <w:tcW w:type="dxa" w:w="50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retenido hasta que el lote aprueba; la muestra ensayada queda ANULADA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EMBALADO / liberado</w:t>
            </w:r>
          </w:p>
        </w:tc>
      </w:tr>
    </w:tbl>
    <w:p>
      <w:pPr>
        <w:spacing w:after="120"/>
      </w:pPr>
    </w:p>
    <w:p>
      <w:pPr>
        <w:spacing w:after="100" w:before="0" w:line="276"/>
      </w:pPr>
      <w:r>
        <w:rPr>
          <w:rFonts w:ascii="Arial" w:cs="Arial" w:eastAsia="Arial" w:hAnsi="Arial"/>
          <w:color w:val="000000"/>
          <w:sz w:val="19"/>
          <w:szCs w:val="19"/>
        </w:rPr>
        <w:t xml:space="preserve">La pintura tercerizada es el único punto donde el carro sale de la planta antes de terminarse: por eso ahí la doble lectura es obligatoria.</w:t>
      </w:r>
    </w:p>
    <w:p>
      <w:pPr>
        <w:pStyle w:val="Heading2"/>
        <w:keepNext/>
        <w:spacing w:after="80" w:before="180" w:line="276"/>
      </w:pPr>
      <w:r>
        <w:rPr>
          <w:rFonts w:ascii="Arial" w:cs="Arial" w:eastAsia="Arial" w:hAnsi="Arial"/>
          <w:color w:val="000000"/>
          <w:sz w:val="19"/>
          <w:szCs w:val="19"/>
        </w:rPr>
        <w:t xml:space="preserve">2.4 Visión con YOLO: dónde suma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1"/>
        <w:gridCol w:w="4503"/>
        <w:gridCol w:w="3002"/>
      </w:tblGrid>
      <w:tr>
        <w:trPr>
          <w:cantSplit/>
          <w:tblHeader/>
        </w:trPr>
        <w:tc>
          <w:tcPr>
            <w:tcW w:type="dxa" w:w="24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Uso</w:t>
            </w:r>
          </w:p>
        </w:tc>
        <w:tc>
          <w:tcPr>
            <w:tcW w:type="dxa" w:w="450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w:t>
            </w:r>
          </w:p>
        </w:tc>
        <w:tc>
          <w:tcPr>
            <w:tcW w:type="dxa" w:w="300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aporta</w:t>
            </w:r>
          </w:p>
        </w:tc>
      </w:tr>
      <w:tr>
        <w:trPr>
          <w:cantSplit/>
        </w:trPr>
        <w:tc>
          <w:tcPr>
            <w:tcW w:type="dxa" w:w="24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Ubicar y leer el grabado</w:t>
            </w:r>
          </w:p>
        </w:tc>
        <w:tc>
          <w:tcPr>
            <w:tcW w:type="dxa" w:w="45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YOLO detecta la franja en la foto, recorta y la pasa a zxing-cpp / libdmtx; si falla, OCR del texto</w:t>
            </w:r>
          </w:p>
        </w:tc>
        <w:tc>
          <w:tcPr>
            <w:tcW w:type="dxa" w:w="30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con cualquier cámara, también de otras marcas en recargas</w:t>
            </w:r>
          </w:p>
        </w:tc>
      </w:tr>
      <w:tr>
        <w:trPr>
          <w:cantSplit/>
        </w:trPr>
        <w:tc>
          <w:tcPr>
            <w:tcW w:type="dxa" w:w="24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Defectos después del granallado (puesto 17)</w:t>
            </w:r>
          </w:p>
        </w:tc>
        <w:tc>
          <w:tcPr>
            <w:tcW w:type="dxa" w:w="45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Detector entrenado con fotos propias de poros, golpes y soldaduras (</w:t>
            </w:r>
            <w:hyperlink w:history="1" r:id="rIddlnromzx3xetpltyydc00">
              <w:r>
                <w:rPr>
                  <w:rFonts w:ascii="Arial" w:cs="Arial" w:eastAsia="Arial" w:hAnsi="Arial"/>
                  <w:color w:val="1F1F1F"/>
                  <w:sz w:val="16"/>
                  <w:szCs w:val="16"/>
                  <w:u w:val="single"/>
                </w:rPr>
                <w:t xml:space="preserve">YOLO en soldadura</w:t>
              </w:r>
            </w:hyperlink>
            <w:r>
              <w:rPr>
                <w:rFonts w:ascii="Arial" w:cs="Arial" w:eastAsia="Arial" w:hAnsi="Arial"/>
                <w:b w:val="false"/>
                <w:bCs w:val="false"/>
                <w:color w:val="000000"/>
                <w:sz w:val="16"/>
                <w:szCs w:val="16"/>
              </w:rPr>
              <w:t xml:space="preserve">; </w:t>
            </w:r>
            <w:hyperlink w:history="1" r:id="rIdejoten1kdb6iewika6mex">
              <w:r>
                <w:rPr>
                  <w:rFonts w:ascii="Arial" w:cs="Arial" w:eastAsia="Arial" w:hAnsi="Arial"/>
                  <w:color w:val="1F1F1F"/>
                  <w:sz w:val="16"/>
                  <w:szCs w:val="16"/>
                  <w:u w:val="single"/>
                </w:rPr>
                <w:t xml:space="preserve">YOLOv3</w:t>
              </w:r>
            </w:hyperlink>
            <w:r>
              <w:rPr>
                <w:rFonts w:ascii="Arial" w:cs="Arial" w:eastAsia="Arial" w:hAnsi="Arial"/>
                <w:b w:val="false"/>
                <w:bCs w:val="false"/>
                <w:color w:val="000000"/>
                <w:sz w:val="16"/>
                <w:szCs w:val="16"/>
              </w:rPr>
              <w:t xml:space="preserve">)</w:t>
            </w:r>
          </w:p>
        </w:tc>
        <w:tc>
          <w:tcPr>
            <w:tcW w:type="dxa" w:w="30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el defecto; decide el operario</w:t>
            </w:r>
          </w:p>
        </w:tc>
      </w:tr>
      <w:tr>
        <w:trPr>
          <w:cantSplit/>
        </w:trPr>
        <w:tc>
          <w:tcPr>
            <w:tcW w:type="dxa" w:w="24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final (24 manuales, 15 carros)</w:t>
            </w:r>
          </w:p>
        </w:tc>
        <w:tc>
          <w:tcPr>
            <w:tcW w:type="dxa" w:w="45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Verifica etiqueta, precinto, manómetro en verde, faja, tobera y pasador; guarda la foto</w:t>
            </w:r>
          </w:p>
        </w:tc>
        <w:tc>
          <w:tcPr>
            <w:tcW w:type="dxa" w:w="30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Evidencia fechada por equipo</w:t>
            </w:r>
          </w:p>
        </w:tc>
      </w:tr>
      <w:tr>
        <w:trPr>
          <w:cantSplit/>
        </w:trPr>
        <w:tc>
          <w:tcPr>
            <w:tcW w:type="dxa" w:w="24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Conteo de pallet</w:t>
            </w:r>
          </w:p>
        </w:tc>
        <w:tc>
          <w:tcPr>
            <w:tcW w:type="dxa" w:w="45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Cuenta equipos en la foto del pallet y compara con la agregación SSCC</w:t>
            </w:r>
          </w:p>
        </w:tc>
        <w:tc>
          <w:tcPr>
            <w:tcW w:type="dxa" w:w="30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Faltantes antes de cargar el camión</w:t>
            </w:r>
          </w:p>
        </w:tc>
      </w:tr>
      <w:tr>
        <w:trPr>
          <w:cantSplit/>
        </w:trPr>
        <w:tc>
          <w:tcPr>
            <w:tcW w:type="dxa" w:w="24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en recargas</w:t>
            </w:r>
          </w:p>
        </w:tc>
        <w:tc>
          <w:tcPr>
            <w:tcW w:type="dxa" w:w="45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Clasifica corrosión y golpes como apoyo a IRAM 3517-2 9.7.1.3</w:t>
            </w:r>
          </w:p>
        </w:tc>
        <w:tc>
          <w:tcPr>
            <w:tcW w:type="dxa" w:w="30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Prioriza qué revisar; decide el recargador</w:t>
            </w:r>
          </w:p>
        </w:tc>
      </w:tr>
    </w:tbl>
    <w:p>
      <w:pPr>
        <w:spacing w:after="120"/>
      </w:pPr>
    </w:p>
    <w:p>
      <w:pPr>
        <w:spacing w:after="100" w:before="0" w:line="276"/>
      </w:pPr>
      <w:r>
        <w:rPr>
          <w:rFonts w:ascii="Arial" w:cs="Arial" w:eastAsia="Arial" w:hAnsi="Arial"/>
          <w:color w:val="000000"/>
          <w:sz w:val="19"/>
          <w:szCs w:val="19"/>
        </w:rPr>
        <w:t xml:space="preserve">YOLO corre en una PC chica con cámara fija; el entrenamiento necesita un lote de fotos propias etiquetadas, por eso va en la fase 3.</w:t>
      </w:r>
    </w:p>
    <w:p>
      <w:pPr>
        <w:pStyle w:val="Heading2"/>
        <w:keepNext/>
        <w:spacing w:after="80" w:before="180" w:line="276"/>
      </w:pPr>
      <w:r>
        <w:rPr>
          <w:rFonts w:ascii="Arial" w:cs="Arial" w:eastAsia="Arial" w:hAnsi="Arial"/>
          <w:color w:val="000000"/>
          <w:sz w:val="19"/>
          <w:szCs w:val="19"/>
        </w:rPr>
        <w:t xml:space="preserve">2.5 Datos y prueba de integridad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01"/>
        <w:gridCol w:w="7805"/>
      </w:tblGrid>
      <w:tr>
        <w:trPr>
          <w:cantSplit/>
          <w:tblHeader/>
        </w:trPr>
        <w:tc>
          <w:tcPr>
            <w:tcW w:type="dxa" w:w="21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Tabla</w:t>
            </w:r>
          </w:p>
        </w:tc>
        <w:tc>
          <w:tcPr>
            <w:tcW w:type="dxa" w:w="780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guarda</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w:t>
            </w:r>
          </w:p>
        </w:tc>
        <w:tc>
          <w:tcPr>
            <w:tcW w:type="dxa" w:w="78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modelo (GTIN), estado actual, rev. de ficha, lote de chapa, quién lo tiene</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EVENTOS</w:t>
            </w:r>
          </w:p>
        </w:tc>
        <w:tc>
          <w:tcPr>
            <w:tcW w:type="dxa" w:w="78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 serie o SSCC, tipo, puesto, fecha y hora, operario, valores, resultado, foto, hash anterior, hash</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w:t>
            </w:r>
          </w:p>
        </w:tc>
        <w:tc>
          <w:tcPr>
            <w:tcW w:type="dxa" w:w="78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modelo, revisión, puesto, parámetro, mínimo, máximo, unidad, norma</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LOTES</w:t>
            </w:r>
          </w:p>
        </w:tc>
        <w:tc>
          <w:tcPr>
            <w:tcW w:type="dxa" w:w="78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chapa, polvo, válvulas, manómetros, pintura: proveedor y certificado</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AGREGACIONES</w:t>
            </w:r>
          </w:p>
        </w:tc>
        <w:tc>
          <w:tcPr>
            <w:tcW w:type="dxa" w:w="78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padre (caja, pallet SSCC, lote de cúpula) e hijo (serie)</w:t>
            </w:r>
          </w:p>
        </w:tc>
      </w:tr>
    </w:tbl>
    <w:p>
      <w:pPr>
        <w:spacing w:after="120"/>
      </w:pPr>
    </w:p>
    <w:p>
      <w:pPr>
        <w:spacing w:after="100" w:before="0" w:line="276"/>
      </w:pPr>
      <w:r>
        <w:rPr>
          <w:rFonts w:ascii="Arial" w:cs="Arial" w:eastAsia="Arial" w:hAnsi="Arial"/>
          <w:color w:val="000000"/>
          <w:sz w:val="19"/>
          <w:szCs w:val="19"/>
        </w:rPr>
        <w:t xml:space="preserve">Cada evento guarda el hash del anterior (cadena de hashes, una fórmula): si alguien edita un renglón viejo, la cadena se rompe y se nota. Da la misma prueba que se le pide a una «blockchain» sin necesitarla. Eventos con la estructura de </w:t>
      </w:r>
      <w:hyperlink w:history="1" r:id="rId7qt4doy2jpcmwuj09oop_">
        <w:r>
          <w:rPr>
            <w:rFonts w:ascii="Arial" w:cs="Arial" w:eastAsia="Arial" w:hAnsi="Arial"/>
            <w:color w:val="1F1F1F"/>
            <w:sz w:val="19"/>
            <w:szCs w:val="19"/>
            <w:u w:val="single"/>
          </w:rPr>
          <w:t xml:space="preserve">GS1 EPCIS 2.0</w:t>
        </w:r>
      </w:hyperlink>
      <w:r>
        <w:rPr>
          <w:rFonts w:ascii="Arial" w:cs="Arial" w:eastAsia="Arial" w:hAnsi="Arial"/>
          <w:color w:val="000000"/>
          <w:sz w:val="19"/>
          <w:szCs w:val="19"/>
        </w:rPr>
        <w:t xml:space="preserve"> (</w:t>
      </w:r>
      <w:hyperlink w:history="1" r:id="rIdzmmfeolwyjqsvfc6njsds">
        <w:r>
          <w:rPr>
            <w:rFonts w:ascii="Arial" w:cs="Arial" w:eastAsia="Arial" w:hAnsi="Arial"/>
            <w:color w:val="1F1F1F"/>
            <w:sz w:val="19"/>
            <w:szCs w:val="19"/>
            <w:u w:val="single"/>
          </w:rPr>
          <w:t xml:space="preserve">lanzamiento</w:t>
        </w:r>
      </w:hyperlink>
      <w:r>
        <w:rPr>
          <w:rFonts w:ascii="Arial" w:cs="Arial" w:eastAsia="Arial" w:hAnsi="Arial"/>
          <w:color w:val="000000"/>
          <w:sz w:val="19"/>
          <w:szCs w:val="19"/>
        </w:rPr>
        <w:t xml:space="preserve">): qué, cuándo, dónde, por qué y cómo.</w:t>
      </w:r>
    </w:p>
    <w:p>
      <w:pPr>
        <w:pStyle w:val="Heading1"/>
        <w:keepNext/>
        <w:spacing w:after="120" w:before="240" w:line="276"/>
      </w:pPr>
      <w:r>
        <w:rPr>
          <w:rFonts w:ascii="Arial" w:cs="Arial" w:eastAsia="Arial" w:hAnsi="Arial"/>
          <w:color w:val="000000"/>
          <w:sz w:val="19"/>
          <w:szCs w:val="19"/>
        </w:rPr>
        <w:t xml:space="preserve">3. Trazabilidad extraplanta: de la carta de porte a la llave en mano</w:t>
      </w:r>
    </w:p>
    <w:p>
      <w:pPr>
        <w:keepNext/>
        <w:spacing w:after="60"/>
        <w:jc w:val="center"/>
      </w:pPr>
      <w:r>
        <w:drawing>
          <wp:inline distT="0" distB="0" distL="0" distR="0">
            <wp:extent cx="5943600" cy="1743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17430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Cadena de custodia: cada traspaso es una doble lectura con su documento.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3679"/>
        <w:gridCol w:w="2547"/>
        <w:gridCol w:w="1699"/>
      </w:tblGrid>
      <w:tr>
        <w:trPr>
          <w:cantSplit/>
          <w:tblHeader/>
        </w:trPr>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Traspaso</w:t>
            </w:r>
          </w:p>
        </w:tc>
        <w:tc>
          <w:tcPr>
            <w:tcW w:type="dxa" w:w="36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Documento</w:t>
            </w:r>
          </w:p>
        </w:tc>
        <w:tc>
          <w:tcPr>
            <w:tcW w:type="dxa" w:w="25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Lectura</w:t>
            </w:r>
          </w:p>
        </w:tc>
        <w:tc>
          <w:tcPr>
            <w:tcW w:type="dxa" w:w="16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queda</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 transportista</w:t>
            </w:r>
          </w:p>
        </w:tc>
        <w:tc>
          <w:tcPr>
            <w:tcW w:type="dxa" w:w="36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y factura; carta de porte suscripta por el cargador (CCyCN </w:t>
            </w:r>
            <w:hyperlink w:history="1" r:id="rIdzxls5szx_4dt1cxw1rojr">
              <w:r>
                <w:rPr>
                  <w:rFonts w:ascii="Arial" w:cs="Arial" w:eastAsia="Arial" w:hAnsi="Arial"/>
                  <w:color w:val="1F1F1F"/>
                  <w:sz w:val="16"/>
                  <w:szCs w:val="16"/>
                  <w:u w:val="single"/>
                </w:rPr>
                <w:t xml:space="preserve">art. 1298</w:t>
              </w:r>
            </w:hyperlink>
            <w:r>
              <w:rPr>
                <w:rFonts w:ascii="Arial" w:cs="Arial" w:eastAsia="Arial" w:hAnsi="Arial"/>
                <w:b w:val="false"/>
                <w:bCs w:val="false"/>
                <w:color w:val="000000"/>
                <w:sz w:val="16"/>
                <w:szCs w:val="16"/>
              </w:rPr>
              <w:t xml:space="preserve">), segundo ejemplar (art. 1299) y guía del transportista (art. 1300); COT de ARBA si el traslado supera los umbrales vigentes (</w:t>
            </w:r>
            <w:hyperlink w:history="1" r:id="rIdokx7_ukw5uvktbf27smhv">
              <w:r>
                <w:rPr>
                  <w:rFonts w:ascii="Arial" w:cs="Arial" w:eastAsia="Arial" w:hAnsi="Arial"/>
                  <w:color w:val="1F1F1F"/>
                  <w:sz w:val="16"/>
                  <w:szCs w:val="16"/>
                  <w:u w:val="single"/>
                </w:rPr>
                <w:t xml:space="preserve">ARBA</w:t>
              </w:r>
            </w:hyperlink>
            <w:r>
              <w:rPr>
                <w:rFonts w:ascii="Arial" w:cs="Arial" w:eastAsia="Arial" w:hAnsi="Arial"/>
                <w:b w:val="false"/>
                <w:bCs w:val="false"/>
                <w:color w:val="000000"/>
                <w:sz w:val="16"/>
                <w:szCs w:val="16"/>
              </w:rPr>
              <w:t xml:space="preserve">)</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(SSCC) sale ✓ en despacho; el chofer confirma entra ✓ con el celular leyendo el QR del remito</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fecha, camión, chofer, series</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Transportista → distribuidor</w:t>
            </w:r>
          </w:p>
        </w:tc>
        <w:tc>
          <w:tcPr>
            <w:tcW w:type="dxa" w:w="36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con firma de recepción</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entra ✓; faltantes y daños con foto</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 distribuidor</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 → instalador o cliente</w:t>
            </w:r>
          </w:p>
        </w:tc>
        <w:tc>
          <w:tcPr>
            <w:tcW w:type="dxa" w:w="36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o factura del distribuidor</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abrir el pallet se lee cada serie que vende (desagregación)</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quién se vendió cada serie</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 → cliente (llave en mano)</w:t>
            </w:r>
          </w:p>
        </w:tc>
        <w:tc>
          <w:tcPr>
            <w:tcW w:type="dxa" w:w="36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acta de entrega firmada en el celular</w:t>
            </w:r>
          </w:p>
        </w:tc>
        <w:tc>
          <w:tcPr>
            <w:tcW w:type="dxa" w:w="25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 ubicación (dirección, sector, foto en el soporte)</w:t>
            </w:r>
          </w:p>
        </w:tc>
        <w:tc>
          <w:tcPr>
            <w:tcW w:type="dxa" w:w="1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estado EN SERVICIO, dueño = cliente</w:t>
            </w:r>
          </w:p>
        </w:tc>
      </w:tr>
    </w:tbl>
    <w:p>
      <w:pPr>
        <w:spacing w:after="120"/>
      </w:pPr>
    </w:p>
    <w:p>
      <w:pPr>
        <w:spacing w:after="100" w:before="0" w:line="276"/>
      </w:pPr>
      <w:r>
        <w:rPr>
          <w:rFonts w:ascii="Arial" w:cs="Arial" w:eastAsia="Arial" w:hAnsi="Arial"/>
          <w:b/>
          <w:bCs/>
          <w:color w:val="000000"/>
          <w:sz w:val="19"/>
          <w:szCs w:val="19"/>
        </w:rPr>
        <w:t xml:space="preserve">El punto débil real</w:t>
      </w:r>
      <w:r>
        <w:rPr>
          <w:rFonts w:ascii="Arial" w:cs="Arial" w:eastAsia="Arial" w:hAnsi="Arial"/>
          <w:color w:val="000000"/>
          <w:sz w:val="19"/>
          <w:szCs w:val="19"/>
        </w:rPr>
        <w:t xml:space="preserve"> es que el distribuidor no tiene obligación de leer nada. Propuesta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la garantía del equipo se activa cuando se registra la venta o la instalación. Así el que vende tiene un motivo para leer. Instaladores propios de FLAMA leen siempre.</w:t>
      </w:r>
    </w:p>
    <w:p>
      <w:pPr>
        <w:spacing w:after="100" w:before="0" w:line="276"/>
      </w:pPr>
      <w:r>
        <w:rPr>
          <w:rFonts w:ascii="Arial" w:cs="Arial" w:eastAsia="Arial" w:hAnsi="Arial"/>
          <w:color w:val="000000"/>
          <w:sz w:val="19"/>
          <w:szCs w:val="19"/>
        </w:rPr>
        <w:t xml:space="preserve">El QR de la etiqueta (GS1 Digital Link) abre la ficha con dos solapas, </w:t>
      </w:r>
      <w:r>
        <w:rPr>
          <w:rFonts w:ascii="Arial" w:cs="Arial" w:eastAsia="Arial" w:hAnsi="Arial"/>
          <w:b/>
          <w:bCs/>
          <w:color w:val="000000"/>
          <w:sz w:val="19"/>
          <w:szCs w:val="19"/>
        </w:rPr>
        <w:t xml:space="preserve">técnica</w:t>
      </w:r>
      <w:r>
        <w:rPr>
          <w:rFonts w:ascii="Arial" w:cs="Arial" w:eastAsia="Arial" w:hAnsi="Arial"/>
          <w:color w:val="000000"/>
          <w:sz w:val="19"/>
          <w:szCs w:val="19"/>
        </w:rPr>
        <w:t xml:space="preserve"> y </w:t>
      </w:r>
      <w:r>
        <w:rPr>
          <w:rFonts w:ascii="Arial" w:cs="Arial" w:eastAsia="Arial" w:hAnsi="Arial"/>
          <w:b/>
          <w:bCs/>
          <w:color w:val="000000"/>
          <w:sz w:val="19"/>
          <w:szCs w:val="19"/>
        </w:rPr>
        <w:t xml:space="preserve">comercial</w:t>
      </w:r>
      <w:r>
        <w:rPr>
          <w:rFonts w:ascii="Arial" w:cs="Arial" w:eastAsia="Arial" w:hAnsi="Arial"/>
          <w:color w:val="000000"/>
          <w:sz w:val="19"/>
          <w:szCs w:val="19"/>
        </w:rPr>
        <w:t xml:space="preserve">, las dos con la historia; lotes, operarios y parámetros de máquina quedan solo para FLAMA.</w:t>
      </w:r>
    </w:p>
    <w:p>
      <w:pPr>
        <w:pStyle w:val="Heading1"/>
        <w:keepNext/>
        <w:spacing w:after="120" w:before="240" w:line="276"/>
      </w:pPr>
      <w:r>
        <w:rPr>
          <w:rFonts w:ascii="Arial" w:cs="Arial" w:eastAsia="Arial" w:hAnsi="Arial"/>
          <w:color w:val="000000"/>
          <w:sz w:val="19"/>
          <w:szCs w:val="19"/>
        </w:rPr>
        <w:t xml:space="preserve">4. Retorno del matafuego, re-especificación por recarga y seguros</w:t>
      </w:r>
    </w:p>
    <w:p>
      <w:pPr>
        <w:keepNext/>
        <w:spacing w:after="60"/>
        <w:jc w:val="center"/>
      </w:pPr>
      <w:r>
        <w:drawing>
          <wp:inline distT="0" distB="0" distL="0" distR="0">
            <wp:extent cx="5943600" cy="2238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22383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Ciclo en servicio: retiro con sustituto, recepción, servicio con nueva revisión de ficha, devolución o inutilización.</w:t>
      </w:r>
    </w:p>
    <w:p>
      <w:pPr>
        <w:pStyle w:val="Heading2"/>
        <w:keepNext/>
        <w:spacing w:after="80" w:before="180" w:line="276"/>
      </w:pPr>
      <w:r>
        <w:rPr>
          <w:rFonts w:ascii="Arial" w:cs="Arial" w:eastAsia="Arial" w:hAnsi="Arial"/>
          <w:color w:val="000000"/>
          <w:sz w:val="19"/>
          <w:szCs w:val="19"/>
        </w:rPr>
        <w:t xml:space="preserve">4.1 Retiro y sustituto</w:t>
      </w:r>
    </w:p>
    <w:p>
      <w:pPr>
        <w:spacing w:after="100" w:before="0" w:line="276"/>
      </w:pPr>
      <w:r>
        <w:rPr>
          <w:rFonts w:ascii="Arial" w:cs="Arial" w:eastAsia="Arial" w:hAnsi="Arial"/>
          <w:color w:val="000000"/>
          <w:sz w:val="19"/>
          <w:szCs w:val="19"/>
        </w:rPr>
        <w:t xml:space="preserve">Al retirar el equipo se deja un sustituto (tarjeta «sustituto habilitado», Res. 349/07 art. 32; faja amarilla ≤ 40 mm en el borde inferior con sus leyendas, IRAM 3517-2 9.4.5 b); la faja es vinilo autoadhesivo amarillo, la norma no fija material). La app </w:t>
      </w:r>
      <w:r>
        <w:rPr>
          <w:rFonts w:ascii="Arial" w:cs="Arial" w:eastAsia="Arial" w:hAnsi="Arial"/>
          <w:b/>
          <w:bCs/>
          <w:color w:val="000000"/>
          <w:sz w:val="19"/>
          <w:szCs w:val="19"/>
        </w:rPr>
        <w:t xml:space="preserve">parea</w:t>
      </w:r>
      <w:r>
        <w:rPr>
          <w:rFonts w:ascii="Arial" w:cs="Arial" w:eastAsia="Arial" w:hAnsi="Arial"/>
          <w:color w:val="000000"/>
          <w:sz w:val="19"/>
          <w:szCs w:val="19"/>
        </w:rPr>
        <w:t xml:space="preserve"> sustituto ↔ equipo retirado: se sabe dónde está cada sustituto y cuánto lleva afuera.</w:t>
      </w:r>
    </w:p>
    <w:p>
      <w:pPr>
        <w:pStyle w:val="Heading2"/>
        <w:keepNext/>
        <w:spacing w:after="80" w:before="180" w:line="276"/>
      </w:pPr>
      <w:r>
        <w:rPr>
          <w:rFonts w:ascii="Arial" w:cs="Arial" w:eastAsia="Arial" w:hAnsi="Arial"/>
          <w:color w:val="000000"/>
          <w:sz w:val="19"/>
          <w:szCs w:val="19"/>
        </w:rPr>
        <w:t xml:space="preserve">4.2 Recepción y servicio</w:t>
      </w:r>
    </w:p>
    <w:p>
      <w:pPr>
        <w:spacing w:after="100" w:before="0" w:line="276"/>
      </w:pPr>
      <w:r>
        <w:rPr>
          <w:rFonts w:ascii="Arial" w:cs="Arial" w:eastAsia="Arial" w:hAnsi="Arial"/>
          <w:color w:val="000000"/>
          <w:sz w:val="19"/>
          <w:szCs w:val="19"/>
        </w:rPr>
        <w:t xml:space="preserve">En recargas se lee el grabado (o el QR), se saca foto y la visión ayuda a clasificar el estado. La app trae la última ficha y aplica las reglas de la norma como bloqueos: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96"/>
        <w:gridCol w:w="2477"/>
        <w:gridCol w:w="4333"/>
      </w:tblGrid>
      <w:tr>
        <w:trPr>
          <w:cantSplit/>
          <w:tblHeader/>
        </w:trPr>
        <w:tc>
          <w:tcPr>
            <w:tcW w:type="dxa" w:w="30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Regla</w:t>
            </w:r>
          </w:p>
        </w:tc>
        <w:tc>
          <w:tcPr>
            <w:tcW w:type="dxa" w:w="2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433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la app</w:t>
            </w:r>
          </w:p>
        </w:tc>
      </w:tr>
      <w:tr>
        <w:trPr>
          <w:cantSplit/>
        </w:trPr>
        <w:tc>
          <w:tcPr>
            <w:tcW w:type="dxa" w:w="30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convertir el tipo de agente</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9.4.6</w:t>
            </w:r>
          </w:p>
        </w:tc>
        <w:tc>
          <w:tcPr>
            <w:tcW w:type="dxa" w:w="433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deja cargar otro agente que el de la ficha</w:t>
            </w:r>
          </w:p>
        </w:tc>
      </w:tr>
      <w:tr>
        <w:trPr>
          <w:cantSplit/>
        </w:trPr>
        <w:tc>
          <w:tcPr>
            <w:tcW w:type="dxa" w:w="30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cada 5 años (polvo) y vida útil de 20 años</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anexo E</w:t>
            </w:r>
          </w:p>
        </w:tc>
        <w:tc>
          <w:tcPr>
            <w:tcW w:type="dxa" w:w="433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Exige PH si vence; si pasó la vida útil manda a inutilización</w:t>
            </w:r>
          </w:p>
        </w:tc>
      </w:tr>
      <w:tr>
        <w:trPr>
          <w:cantSplit/>
        </w:trPr>
        <w:tc>
          <w:tcPr>
            <w:tcW w:type="dxa" w:w="30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Inutilizar por corrosión, daños, etc.</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9.7.1.3</w:t>
            </w:r>
          </w:p>
        </w:tc>
        <w:tc>
          <w:tcPr>
            <w:tcW w:type="dxa" w:w="433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en recepción → INUTILIZACIÓN</w:t>
            </w:r>
          </w:p>
        </w:tc>
      </w:tr>
      <w:tr>
        <w:trPr>
          <w:cantSplit/>
        </w:trPr>
        <w:tc>
          <w:tcPr>
            <w:tcW w:type="dxa" w:w="30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Precinto trazable</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9.4.13</w:t>
            </w:r>
          </w:p>
        </w:tc>
        <w:tc>
          <w:tcPr>
            <w:tcW w:type="dxa" w:w="433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Registra el n° de precinto nuevo</w:t>
            </w:r>
          </w:p>
        </w:tc>
      </w:tr>
      <w:tr>
        <w:trPr>
          <w:cantSplit/>
        </w:trPr>
        <w:tc>
          <w:tcPr>
            <w:tcW w:type="dxa" w:w="30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Repintado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9.10</w:t>
            </w:r>
          </w:p>
        </w:tc>
        <w:tc>
          <w:tcPr>
            <w:tcW w:type="dxa" w:w="433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Registra el repintado y reimprime la etiqueta con el QR</w:t>
            </w:r>
          </w:p>
        </w:tc>
      </w:tr>
      <w:tr>
        <w:trPr>
          <w:cantSplit/>
        </w:trPr>
        <w:tc>
          <w:tcPr>
            <w:tcW w:type="dxa" w:w="30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con n° de serie; registro 6 años</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9.4.14 y 9.4.16</w:t>
            </w:r>
          </w:p>
        </w:tc>
        <w:tc>
          <w:tcPr>
            <w:tcW w:type="dxa" w:w="433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nueva; el evento no se borra</w:t>
            </w:r>
          </w:p>
        </w:tc>
      </w:tr>
      <w:tr>
        <w:trPr>
          <w:cantSplit/>
        </w:trPr>
        <w:tc>
          <w:tcPr>
            <w:tcW w:type="dxa" w:w="30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Fecha y PH grabadas en el tubo de pesca con lápiz vibratorio</w:t>
            </w:r>
          </w:p>
        </w:tc>
        <w:tc>
          <w:tcPr>
            <w:tcW w:type="dxa" w:w="2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art. 28/29</w:t>
            </w:r>
          </w:p>
        </w:tc>
        <w:tc>
          <w:tcPr>
            <w:tcW w:type="dxa" w:w="433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registra lo grabado</w:t>
            </w:r>
          </w:p>
        </w:tc>
      </w:tr>
    </w:tbl>
    <w:p>
      <w:pPr>
        <w:spacing w:after="120"/>
      </w:pPr>
    </w:p>
    <w:p>
      <w:pPr>
        <w:pStyle w:val="Heading2"/>
        <w:keepNext/>
        <w:spacing w:after="80" w:before="180" w:line="276"/>
      </w:pPr>
      <w:r>
        <w:rPr>
          <w:rFonts w:ascii="Arial" w:cs="Arial" w:eastAsia="Arial" w:hAnsi="Arial"/>
          <w:color w:val="000000"/>
          <w:sz w:val="19"/>
          <w:szCs w:val="19"/>
        </w:rPr>
        <w:t xml:space="preserve">4.3 Re-especificación: ficha rev. n+1</w:t>
      </w:r>
    </w:p>
    <w:p>
      <w:pPr>
        <w:spacing w:after="100" w:before="0" w:line="276"/>
      </w:pPr>
      <w:r>
        <w:rPr>
          <w:rFonts w:ascii="Arial" w:cs="Arial" w:eastAsia="Arial" w:hAnsi="Arial"/>
          <w:color w:val="000000"/>
          <w:sz w:val="19"/>
          <w:szCs w:val="19"/>
        </w:rPr>
        <w:t xml:space="preserve">Cada servicio cierra con una revisión nueva de la ficha del equipo, que es «cómo quedó»:</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01"/>
        <w:gridCol w:w="3602"/>
        <w:gridCol w:w="4203"/>
      </w:tblGrid>
      <w:tr>
        <w:trPr>
          <w:cantSplit/>
          <w:tblHeader/>
        </w:trPr>
        <w:tc>
          <w:tcPr>
            <w:tcW w:type="dxa" w:w="21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Campo</w:t>
            </w:r>
          </w:p>
        </w:tc>
        <w:tc>
          <w:tcPr>
            <w:tcW w:type="dxa" w:w="360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Rev. 0 (fábrica)</w:t>
            </w:r>
          </w:p>
        </w:tc>
        <w:tc>
          <w:tcPr>
            <w:tcW w:type="dxa" w:w="420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Rev. n+1 (servicio)</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Agente</w:t>
            </w:r>
          </w:p>
        </w:tc>
        <w:tc>
          <w:tcPr>
            <w:tcW w:type="dxa" w:w="36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de polvo de fábrica, masa</w:t>
            </w:r>
          </w:p>
        </w:tc>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recargado, masa nueva (o recuperado + reposición)</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w:t>
            </w:r>
          </w:p>
        </w:tc>
        <w:tc>
          <w:tcPr>
            <w:tcW w:type="dxa" w:w="36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de fábrica</w:t>
            </w:r>
          </w:p>
        </w:tc>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de servicio</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Componentes</w:t>
            </w:r>
          </w:p>
        </w:tc>
        <w:tc>
          <w:tcPr>
            <w:tcW w:type="dxa" w:w="36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válvula, manómetro, manguera de fábrica</w:t>
            </w:r>
          </w:p>
        </w:tc>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que se cambiaron, con su lote</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w:t>
            </w:r>
          </w:p>
        </w:tc>
        <w:tc>
          <w:tcPr>
            <w:tcW w:type="dxa" w:w="36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de fábrica</w:t>
            </w:r>
          </w:p>
        </w:tc>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fecha, presión y resultado si tocó</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Terminación</w:t>
            </w:r>
          </w:p>
        </w:tc>
        <w:tc>
          <w:tcPr>
            <w:tcW w:type="dxa" w:w="36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de fábrica</w:t>
            </w:r>
          </w:p>
        </w:tc>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repintado, etiqueta nueva</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Vencimientos</w:t>
            </w:r>
          </w:p>
        </w:tc>
        <w:tc>
          <w:tcPr>
            <w:tcW w:type="dxa" w:w="36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 y PH</w:t>
            </w:r>
          </w:p>
        </w:tc>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recalculados; vida útil sigue contando desde la fabricación</w:t>
            </w:r>
          </w:p>
        </w:tc>
      </w:tr>
      <w:tr>
        <w:trPr>
          <w:cantSplit/>
        </w:trPr>
        <w:tc>
          <w:tcPr>
            <w:tcW w:type="dxa" w:w="2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Responsable</w:t>
            </w:r>
          </w:p>
        </w:tc>
        <w:tc>
          <w:tcPr>
            <w:tcW w:type="dxa" w:w="360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w:t>
            </w:r>
          </w:p>
        </w:tc>
        <w:tc>
          <w:tcPr>
            <w:tcW w:type="dxa" w:w="42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recargador, tarjeta DPS / AGC, precinto, marbete</w:t>
            </w:r>
          </w:p>
        </w:tc>
      </w:tr>
    </w:tbl>
    <w:p>
      <w:pPr>
        <w:spacing w:after="120"/>
      </w:pPr>
    </w:p>
    <w:p>
      <w:pPr>
        <w:pStyle w:val="Heading2"/>
        <w:keepNext/>
        <w:spacing w:after="80" w:before="180" w:line="276"/>
      </w:pPr>
      <w:r>
        <w:rPr>
          <w:rFonts w:ascii="Arial" w:cs="Arial" w:eastAsia="Arial" w:hAnsi="Arial"/>
          <w:color w:val="000000"/>
          <w:sz w:val="19"/>
          <w:szCs w:val="19"/>
        </w:rPr>
        <w:t xml:space="preserve">4.4 Seguros</w:t>
      </w:r>
    </w:p>
    <w:p>
      <w:pPr>
        <w:spacing w:after="100" w:before="0" w:line="276"/>
      </w:pPr>
      <w:r>
        <w:rPr>
          <w:rFonts w:ascii="Arial" w:cs="Arial" w:eastAsia="Arial" w:hAnsi="Arial"/>
          <w:color w:val="000000"/>
          <w:sz w:val="19"/>
          <w:szCs w:val="19"/>
        </w:rPr>
        <w:t xml:space="preserve">El sistema no cambia lo que cubre una póliza (eso lo dice cada póliza; ver por ejemplo </w:t>
      </w:r>
      <w:hyperlink w:history="1" r:id="rId8tthz1yutbl3-_tnvudzp">
        <w:r>
          <w:rPr>
            <w:rFonts w:ascii="Arial" w:cs="Arial" w:eastAsia="Arial" w:hAnsi="Arial"/>
            <w:color w:val="1F1F1F"/>
            <w:sz w:val="19"/>
            <w:szCs w:val="19"/>
            <w:u w:val="single"/>
          </w:rPr>
          <w:t xml:space="preserve">qué cubre un seguro de incendio</w:t>
        </w:r>
      </w:hyperlink>
      <w:r>
        <w:rPr>
          <w:rFonts w:ascii="Arial" w:cs="Arial" w:eastAsia="Arial" w:hAnsi="Arial"/>
          <w:color w:val="000000"/>
          <w:sz w:val="19"/>
          <w:szCs w:val="19"/>
        </w:rPr>
        <w:t xml:space="preserve">), pero da la prueba: con el mismo QR se muestra, a la fecha del siniestro, el último servicio, el marbete vigente, la ubicación y las fotos, con la cadena de hashes como garantía de que no se editó. No encontré una fuente que diga que la aseguradora condiciona el pago al mantenimiento: es un uso posible, no un requisito.</w:t>
      </w:r>
    </w:p>
    <w:p>
      <w:pPr>
        <w:spacing w:after="100" w:before="0" w:line="276"/>
      </w:pPr>
      <w:r>
        <w:rPr>
          <w:rFonts w:ascii="Arial" w:cs="Arial" w:eastAsia="Arial" w:hAnsi="Arial"/>
          <w:color w:val="000000"/>
          <w:sz w:val="19"/>
          <w:szCs w:val="19"/>
        </w:rPr>
        <w:t xml:space="preserve">Para FLAMA el valor fuerte es el </w:t>
      </w:r>
      <w:r>
        <w:rPr>
          <w:rFonts w:ascii="Arial" w:cs="Arial" w:eastAsia="Arial" w:hAnsi="Arial"/>
          <w:b/>
          <w:bCs/>
          <w:color w:val="000000"/>
          <w:sz w:val="19"/>
          <w:szCs w:val="19"/>
        </w:rPr>
        <w:t xml:space="preserve">recall</w:t>
      </w:r>
      <w:r>
        <w:rPr>
          <w:rFonts w:ascii="Arial" w:cs="Arial" w:eastAsia="Arial" w:hAnsi="Arial"/>
          <w:color w:val="000000"/>
          <w:sz w:val="19"/>
          <w:szCs w:val="19"/>
        </w:rPr>
        <w:t xml:space="preserve">: si un lote de chapa, polvo o válvulas sale mal, se consulta el lote → series → quién los tiene (custodia) → aviso directo. Sin el sistema eso no se puede hacer.</w:t>
      </w:r>
    </w:p>
    <w:p>
      <w:pPr>
        <w:pStyle w:val="Heading1"/>
        <w:keepNext/>
        <w:spacing w:after="120" w:before="240" w:line="276"/>
      </w:pPr>
      <w:r>
        <w:rPr>
          <w:rFonts w:ascii="Arial" w:cs="Arial" w:eastAsia="Arial" w:hAnsi="Arial"/>
          <w:color w:val="000000"/>
          <w:sz w:val="19"/>
          <w:szCs w:val="19"/>
        </w:rPr>
        <w:t xml:space="preserve">5. Retorno al cliente e inutilización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48"/>
        <w:gridCol w:w="4079"/>
        <w:gridCol w:w="4079"/>
      </w:tblGrid>
      <w:tr>
        <w:trPr>
          <w:cantSplit/>
          <w:tblHeader/>
        </w:trPr>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Caso</w:t>
            </w:r>
          </w:p>
        </w:tc>
        <w:tc>
          <w:tcPr>
            <w:tcW w:type="dxa" w:w="40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hace</w:t>
            </w:r>
          </w:p>
        </w:tc>
        <w:tc>
          <w:tcPr>
            <w:tcW w:type="dxa" w:w="40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Lectura y estado</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Apto</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devuelve, se retira el sustituto</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doble lectura: equipo entra ✓ al cliente, sustituto sale ✓; EN SERVICIO con ficha rev. n+1</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apto</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 (IRAM 3517-2 9.12) con acta del anexo G; se ofrece reemplazo</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INUTILIZADO → BAJA: el serie queda </w:t>
            </w:r>
            <w:r>
              <w:rPr>
                <w:rFonts w:ascii="Arial" w:cs="Arial" w:eastAsia="Arial" w:hAnsi="Arial"/>
                <w:b/>
                <w:bCs/>
                <w:color w:val="000000"/>
                <w:sz w:val="16"/>
                <w:szCs w:val="16"/>
              </w:rPr>
              <w:t xml:space="preserve">bloqueado</w:t>
            </w:r>
            <w:r>
              <w:rPr>
                <w:rFonts w:ascii="Arial" w:cs="Arial" w:eastAsia="Arial" w:hAnsi="Arial"/>
                <w:b w:val="false"/>
                <w:bCs w:val="false"/>
                <w:color w:val="000000"/>
                <w:sz w:val="16"/>
                <w:szCs w:val="16"/>
              </w:rPr>
              <w:t xml:space="preserve"> para siempre</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Fin de vida útil</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Igual que no apto, avisado antes por el sistema</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de otra marca</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inutiliza igual; se registra su número grabado</w:t>
            </w:r>
          </w:p>
        </w:tc>
        <w:tc>
          <w:tcPr>
            <w:tcW w:type="dxa" w:w="40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bl>
    <w:p>
      <w:pPr>
        <w:spacing w:after="120"/>
      </w:pPr>
    </w:p>
    <w:p>
      <w:pPr>
        <w:spacing w:after="100" w:before="0" w:line="276"/>
      </w:pPr>
      <w:r>
        <w:rPr>
          <w:rFonts w:ascii="Arial" w:cs="Arial" w:eastAsia="Arial" w:hAnsi="Arial"/>
          <w:color w:val="000000"/>
          <w:sz w:val="19"/>
          <w:szCs w:val="19"/>
        </w:rPr>
        <w:t xml:space="preserve">Si alguien lee un serie bloqueado, la app y el QR público muestran «INUTILIZADO — fecha — acta». La numeración queda auditable: cada serie está fabricado, anulado en planta o dado de baja.</w:t>
      </w:r>
    </w:p>
    <w:p>
      <w:pPr>
        <w:pStyle w:val="Heading1"/>
        <w:keepNext/>
        <w:spacing w:after="120" w:before="240" w:line="276"/>
      </w:pPr>
      <w:r>
        <w:rPr>
          <w:rFonts w:ascii="Arial" w:cs="Arial" w:eastAsia="Arial" w:hAnsi="Arial"/>
          <w:color w:val="000000"/>
          <w:sz w:val="19"/>
          <w:szCs w:val="19"/>
        </w:rPr>
        <w:t xml:space="preserve">6. Herramientas y alternativas evaluadas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96"/>
        <w:gridCol w:w="2914"/>
        <w:gridCol w:w="3496"/>
      </w:tblGrid>
      <w:tr>
        <w:trPr>
          <w:cantSplit/>
          <w:tblHeader/>
        </w:trPr>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Herramienta</w:t>
            </w:r>
          </w:p>
        </w:tc>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Uso</w:t>
            </w:r>
          </w:p>
        </w:tc>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Decisión</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Micropercusión profunda (Pannier / DTMAQ)</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 DataMatrix</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Base</w:t>
            </w:r>
            <w:r>
              <w:rPr>
                <w:rFonts w:ascii="Arial" w:cs="Arial" w:eastAsia="Arial" w:hAnsi="Arial"/>
                <w:b w:val="false"/>
                <w:bCs w:val="false"/>
                <w:color w:val="000000"/>
                <w:sz w:val="16"/>
                <w:szCs w:val="16"/>
              </w:rPr>
              <w:t xml:space="preserve">: ya están en planta</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DataMatrix ECC 200 + QR en la etiqueta (GS1 Digital Link)</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automática y acceso del cliente</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GS1 EPCIS 2.0 + SSCC</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eventos y agregación</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 (estructura, no hace falta software GS1)</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Cadena de hashes</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integridad</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YOLO + zxing-cpp / libdmtx + OCR</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visión y lectura</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Fase 3</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AppSheet sobre Sheets</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estación de puesto</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 (fase 1)</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RFID / NFC para metal (</w:t>
            </w:r>
            <w:hyperlink w:history="1" r:id="rIdkoshgf84nliasf5_zopxj">
              <w:r>
                <w:rPr>
                  <w:rFonts w:ascii="Arial" w:cs="Arial" w:eastAsia="Arial" w:hAnsi="Arial"/>
                  <w:color w:val="1F1F1F"/>
                  <w:sz w:val="16"/>
                  <w:szCs w:val="16"/>
                  <w:u w:val="single"/>
                </w:rPr>
                <w:t xml:space="preserve">ejemplo</w:t>
              </w:r>
            </w:hyperlink>
            <w:r>
              <w:rPr>
                <w:rFonts w:ascii="Arial" w:cs="Arial" w:eastAsia="Arial" w:hAnsi="Arial"/>
                <w:b w:val="false"/>
                <w:bCs w:val="false"/>
                <w:color w:val="000000"/>
                <w:sz w:val="16"/>
                <w:szCs w:val="16"/>
              </w:rPr>
              <w:t xml:space="preserve">)</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sin línea de vista</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por ahora: se va con el repintado igual que la etiqueta</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Tinta invisible UV</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oculta</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el granallado y el repintado la tapan o la quitan; la marca profunda sobrevive</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 de mantenimiento con QR (</w:t>
            </w:r>
            <w:hyperlink w:history="1" r:id="rIdhock1rtfuo6r677n0vqh2">
              <w:r>
                <w:rPr>
                  <w:rFonts w:ascii="Arial" w:cs="Arial" w:eastAsia="Arial" w:hAnsi="Arial"/>
                  <w:color w:val="1F1F1F"/>
                  <w:sz w:val="16"/>
                  <w:szCs w:val="16"/>
                  <w:u w:val="single"/>
                </w:rPr>
                <w:t xml:space="preserve">caso UMP</w:t>
              </w:r>
            </w:hyperlink>
            <w:r>
              <w:rPr>
                <w:rFonts w:ascii="Arial" w:cs="Arial" w:eastAsia="Arial" w:hAnsi="Arial"/>
                <w:b w:val="false"/>
                <w:bCs w:val="false"/>
                <w:color w:val="000000"/>
                <w:sz w:val="16"/>
                <w:szCs w:val="16"/>
              </w:rPr>
              <w:t xml:space="preserve">)</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referencia de uso en mantenimiento</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Referencia</w:t>
            </w:r>
          </w:p>
        </w:tc>
      </w:tr>
    </w:tbl>
    <w:p>
      <w:pPr>
        <w:spacing w:after="120"/>
      </w:pPr>
    </w:p>
    <w:p>
      <w:pPr>
        <w:pStyle w:val="Heading1"/>
        <w:keepNext/>
        <w:spacing w:after="120" w:before="240" w:line="276"/>
      </w:pPr>
      <w:r>
        <w:rPr>
          <w:rFonts w:ascii="Arial" w:cs="Arial" w:eastAsia="Arial" w:hAnsi="Arial"/>
          <w:color w:val="000000"/>
          <w:sz w:val="19"/>
          <w:szCs w:val="19"/>
        </w:rPr>
        <w:t xml:space="preserve">7. Fases y pendientes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65"/>
        <w:gridCol w:w="8741"/>
      </w:tblGrid>
      <w:tr>
        <w:trPr>
          <w:cantSplit/>
          <w:tblHeader/>
        </w:trPr>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Fase</w:t>
            </w:r>
          </w:p>
        </w:tc>
        <w:tc>
          <w:tcPr>
            <w:tcW w:type="dxa" w:w="874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entra</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marcado (1.6) y confirmación con la DPS de la ubicación en 1 kg y carros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estados, 3 compuertas, fichas por modelo, etiqueta con QR (AppSheet + Sheets)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Agregación SSCC, doble lectura en despacho y pintura tercerizada, portal QR con dos solapas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Visión YOLO, recargas con ficha rev. n+1, pareo de sustitutos, recall</w:t>
            </w:r>
          </w:p>
        </w:tc>
      </w:tr>
    </w:tbl>
    <w:p>
      <w:pPr>
        <w:spacing w:after="120"/>
      </w:pPr>
    </w:p>
    <w:p>
      <w:pPr>
        <w:spacing w:after="100" w:before="0" w:line="276"/>
      </w:pPr>
      <w:r>
        <w:rPr>
          <w:rFonts w:ascii="Arial" w:cs="Arial" w:eastAsia="Arial" w:hAnsi="Arial"/>
          <w:b/>
          <w:bCs/>
          <w:color w:val="000000"/>
          <w:sz w:val="19"/>
          <w:szCs w:val="19"/>
        </w:rPr>
        <w:t xml:space="preserve">Pendientes antes de tocar planos:</w:t>
      </w:r>
      <w:r>
        <w:rPr>
          <w:rFonts w:ascii="Arial" w:cs="Arial" w:eastAsia="Arial" w:hAnsi="Arial"/>
          <w:color w:val="000000"/>
          <w:sz w:val="19"/>
          <w:szCs w:val="19"/>
        </w:rPr>
        <w:t xml:space="preserve"> profundidades (hoy criterio) con el ensayo; DataMatrix de la DTMAQ MPE 150130; cuño DPS en 1 kg y carros; GTIN (alta en GS1 Argentina) o serie solo; umbrales vigentes del COT de ARBA. Después: mover el marcado de la cúpula a la franja del cuerpo en los planos, la faja por encima, y la Pannier a la salida de G2.</w:t>
      </w: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hyperlink w:history="1" r:id="rId53vjm4hk78db9dngdqqsq">
        <w:r>
          <w:rPr>
            <w:rFonts w:ascii="Arial" w:cs="Arial" w:eastAsia="Arial" w:hAnsi="Arial"/>
            <w:color w:val="1F1F1F"/>
            <w:sz w:val="19"/>
            <w:szCs w:val="19"/>
            <w:u w:val="single"/>
          </w:rPr>
          <w:t xml:space="preserve">Pannier ADP120160D Deep Marker</w:t>
        </w:r>
      </w:hyperlink>
    </w:p>
    <w:p>
      <w:pPr>
        <w:pStyle w:val="ListParagraph"/>
        <w:numPr>
          <w:ilvl w:val="0"/>
          <w:numId w:val="2"/>
        </w:numPr>
        <w:spacing w:after="40" w:before="0" w:line="276"/>
      </w:pPr>
      <w:hyperlink w:history="1" r:id="rIdy_yutgp-cicm4bcfebpf3">
        <w:r>
          <w:rPr>
            <w:rFonts w:ascii="Arial" w:cs="Arial" w:eastAsia="Arial" w:hAnsi="Arial"/>
            <w:color w:val="1F1F1F"/>
            <w:sz w:val="19"/>
            <w:szCs w:val="19"/>
            <w:u w:val="single"/>
          </w:rPr>
          <w:t xml:space="preserve">The Fabricator: micropercusión legible tras recubrimiento</w:t>
        </w:r>
      </w:hyperlink>
    </w:p>
    <w:p>
      <w:pPr>
        <w:pStyle w:val="ListParagraph"/>
        <w:numPr>
          <w:ilvl w:val="0"/>
          <w:numId w:val="2"/>
        </w:numPr>
        <w:spacing w:after="40" w:before="0" w:line="276"/>
      </w:pPr>
      <w:hyperlink w:history="1" r:id="rIdysg7ybh-lf1zlwc0v2tpz">
        <w:r>
          <w:rPr>
            <w:rFonts w:ascii="Arial" w:cs="Arial" w:eastAsia="Arial" w:hAnsi="Arial"/>
            <w:color w:val="1F1F1F"/>
            <w:sz w:val="19"/>
            <w:szCs w:val="19"/>
            <w:u w:val="single"/>
          </w:rPr>
          <w:t xml:space="preserve">Protocase: dot peening</w:t>
        </w:r>
      </w:hyperlink>
    </w:p>
    <w:p>
      <w:pPr>
        <w:pStyle w:val="ListParagraph"/>
        <w:numPr>
          <w:ilvl w:val="0"/>
          <w:numId w:val="2"/>
        </w:numPr>
        <w:spacing w:after="40" w:before="0" w:line="276"/>
      </w:pPr>
      <w:hyperlink w:history="1" r:id="rIdpe4ouuclmne8yoecy_pg6">
        <w:r>
          <w:rPr>
            <w:rFonts w:ascii="Arial" w:cs="Arial" w:eastAsia="Arial" w:hAnsi="Arial"/>
            <w:color w:val="1F1F1F"/>
            <w:sz w:val="19"/>
            <w:szCs w:val="19"/>
            <w:u w:val="single"/>
          </w:rPr>
          <w:t xml:space="preserve">Keyence: marcado láser resistente al granallado</w:t>
        </w:r>
      </w:hyperlink>
    </w:p>
    <w:p>
      <w:pPr>
        <w:pStyle w:val="ListParagraph"/>
        <w:numPr>
          <w:ilvl w:val="0"/>
          <w:numId w:val="2"/>
        </w:numPr>
        <w:spacing w:after="40" w:before="0" w:line="276"/>
      </w:pPr>
      <w:hyperlink w:history="1" r:id="rIdeq9semyeqvsro4psa6xw4">
        <w:r>
          <w:rPr>
            <w:rFonts w:ascii="Arial" w:cs="Arial" w:eastAsia="Arial" w:hAnsi="Arial"/>
            <w:color w:val="1F1F1F"/>
            <w:sz w:val="19"/>
            <w:szCs w:val="19"/>
            <w:u w:val="single"/>
          </w:rPr>
          <w:t xml:space="preserve">GS1 EPCIS</w:t>
        </w:r>
      </w:hyperlink>
    </w:p>
    <w:p>
      <w:pPr>
        <w:pStyle w:val="ListParagraph"/>
        <w:numPr>
          <w:ilvl w:val="0"/>
          <w:numId w:val="2"/>
        </w:numPr>
        <w:spacing w:after="40" w:before="0" w:line="276"/>
      </w:pPr>
      <w:hyperlink w:history="1" r:id="rIdmps63jsbp1cw3ninuuqzl">
        <w:r>
          <w:rPr>
            <w:rFonts w:ascii="Arial" w:cs="Arial" w:eastAsia="Arial" w:hAnsi="Arial"/>
            <w:color w:val="1F1F1F"/>
            <w:sz w:val="19"/>
            <w:szCs w:val="19"/>
            <w:u w:val="single"/>
          </w:rPr>
          <w:t xml:space="preserve">GS1 EPCIS 2.0</w:t>
        </w:r>
      </w:hyperlink>
    </w:p>
    <w:p>
      <w:pPr>
        <w:pStyle w:val="ListParagraph"/>
        <w:numPr>
          <w:ilvl w:val="0"/>
          <w:numId w:val="2"/>
        </w:numPr>
        <w:spacing w:after="40" w:before="0" w:line="276"/>
      </w:pPr>
      <w:hyperlink w:history="1" r:id="rIdvczl-g9i6lvq771i6jop5">
        <w:r>
          <w:rPr>
            <w:rFonts w:ascii="Arial" w:cs="Arial" w:eastAsia="Arial" w:hAnsi="Arial"/>
            <w:color w:val="1F1F1F"/>
            <w:sz w:val="19"/>
            <w:szCs w:val="19"/>
            <w:u w:val="single"/>
          </w:rPr>
          <w:t xml:space="preserve">zxing-cpp</w:t>
        </w:r>
      </w:hyperlink>
    </w:p>
    <w:p>
      <w:pPr>
        <w:pStyle w:val="ListParagraph"/>
        <w:numPr>
          <w:ilvl w:val="0"/>
          <w:numId w:val="2"/>
        </w:numPr>
        <w:spacing w:after="40" w:before="0" w:line="276"/>
      </w:pPr>
      <w:hyperlink w:history="1" r:id="rId_u0rrcjgedguu31a0dlo9">
        <w:r>
          <w:rPr>
            <w:rFonts w:ascii="Arial" w:cs="Arial" w:eastAsia="Arial" w:hAnsi="Arial"/>
            <w:color w:val="1F1F1F"/>
            <w:sz w:val="19"/>
            <w:szCs w:val="19"/>
            <w:u w:val="single"/>
          </w:rPr>
          <w:t xml:space="preserve">libdmtx</w:t>
        </w:r>
      </w:hyperlink>
    </w:p>
    <w:p>
      <w:pPr>
        <w:pStyle w:val="ListParagraph"/>
        <w:numPr>
          <w:ilvl w:val="0"/>
          <w:numId w:val="2"/>
        </w:numPr>
        <w:spacing w:after="40" w:before="0" w:line="276"/>
      </w:pPr>
      <w:hyperlink w:history="1" r:id="rIdzxsorb2rr-celdll_rpu_">
        <w:r>
          <w:rPr>
            <w:rFonts w:ascii="Arial" w:cs="Arial" w:eastAsia="Arial" w:hAnsi="Arial"/>
            <w:color w:val="1F1F1F"/>
            <w:sz w:val="19"/>
            <w:szCs w:val="19"/>
            <w:u w:val="single"/>
          </w:rPr>
          <w:t xml:space="preserve">Detección de defectos de soldadura con YOLO</w:t>
        </w:r>
      </w:hyperlink>
    </w:p>
    <w:p>
      <w:pPr>
        <w:pStyle w:val="ListParagraph"/>
        <w:numPr>
          <w:ilvl w:val="0"/>
          <w:numId w:val="2"/>
        </w:numPr>
        <w:spacing w:after="40" w:before="0" w:line="276"/>
      </w:pPr>
      <w:hyperlink w:history="1" r:id="rIdcddwbyjolf1rzdpsb-htl">
        <w:r>
          <w:rPr>
            <w:rFonts w:ascii="Arial" w:cs="Arial" w:eastAsia="Arial" w:hAnsi="Arial"/>
            <w:color w:val="1F1F1F"/>
            <w:sz w:val="19"/>
            <w:szCs w:val="19"/>
            <w:u w:val="single"/>
          </w:rPr>
          <w:t xml:space="preserve">Defectos de soldadura con YOLOv3</w:t>
        </w:r>
      </w:hyperlink>
    </w:p>
    <w:p>
      <w:pPr>
        <w:pStyle w:val="ListParagraph"/>
        <w:numPr>
          <w:ilvl w:val="0"/>
          <w:numId w:val="2"/>
        </w:numPr>
        <w:spacing w:after="40" w:before="0" w:line="276"/>
      </w:pPr>
      <w:hyperlink w:history="1" r:id="rIdbku5cejoyuy1llttwxtav">
        <w:r>
          <w:rPr>
            <w:rFonts w:ascii="Arial" w:cs="Arial" w:eastAsia="Arial" w:hAnsi="Arial"/>
            <w:color w:val="1F1F1F"/>
            <w:sz w:val="19"/>
            <w:szCs w:val="19"/>
            <w:u w:val="single"/>
          </w:rPr>
          <w:t xml:space="preserve">CCyCN art. 1298 a 1300</w:t>
        </w:r>
      </w:hyperlink>
    </w:p>
    <w:p>
      <w:pPr>
        <w:pStyle w:val="ListParagraph"/>
        <w:numPr>
          <w:ilvl w:val="0"/>
          <w:numId w:val="2"/>
        </w:numPr>
        <w:spacing w:after="40" w:before="0" w:line="276"/>
      </w:pPr>
      <w:hyperlink w:history="1" r:id="rIddydem92anxmvif7iyqpdo">
        <w:r>
          <w:rPr>
            <w:rFonts w:ascii="Arial" w:cs="Arial" w:eastAsia="Arial" w:hAnsi="Arial"/>
            <w:color w:val="1F1F1F"/>
            <w:sz w:val="19"/>
            <w:szCs w:val="19"/>
            <w:u w:val="single"/>
          </w:rPr>
          <w:t xml:space="preserve">ARBA: COT</w:t>
        </w:r>
      </w:hyperlink>
    </w:p>
    <w:p>
      <w:pPr>
        <w:pStyle w:val="ListParagraph"/>
        <w:numPr>
          <w:ilvl w:val="0"/>
          <w:numId w:val="2"/>
        </w:numPr>
        <w:spacing w:after="40" w:before="0" w:line="276"/>
      </w:pPr>
      <w:hyperlink w:history="1" r:id="rIdeymmgmledal4apuqgbuu8">
        <w:r>
          <w:rPr>
            <w:rFonts w:ascii="Arial" w:cs="Arial" w:eastAsia="Arial" w:hAnsi="Arial"/>
            <w:color w:val="1F1F1F"/>
            <w:sz w:val="19"/>
            <w:szCs w:val="19"/>
            <w:u w:val="single"/>
          </w:rPr>
          <w:t xml:space="preserve">Seguro de incendio</w:t>
        </w:r>
      </w:hyperlink>
    </w:p>
    <w:p>
      <w:pPr>
        <w:pStyle w:val="ListParagraph"/>
        <w:numPr>
          <w:ilvl w:val="0"/>
          <w:numId w:val="2"/>
        </w:numPr>
        <w:spacing w:after="40" w:before="0" w:line="276"/>
      </w:pPr>
      <w:hyperlink w:history="1" r:id="rId3dxw6og5-pdslhnrlc7n8">
        <w:r>
          <w:rPr>
            <w:rFonts w:ascii="Arial" w:cs="Arial" w:eastAsia="Arial" w:hAnsi="Arial"/>
            <w:color w:val="1F1F1F"/>
            <w:sz w:val="19"/>
            <w:szCs w:val="19"/>
            <w:u w:val="single"/>
          </w:rPr>
          <w:t xml:space="preserve">Etiqueta RFID para metal</w:t>
        </w:r>
      </w:hyperlink>
    </w:p>
    <w:p>
      <w:pPr>
        <w:pStyle w:val="ListParagraph"/>
        <w:numPr>
          <w:ilvl w:val="0"/>
          <w:numId w:val="2"/>
        </w:numPr>
        <w:spacing w:after="40" w:before="0" w:line="276"/>
      </w:pPr>
      <w:hyperlink w:history="1" r:id="rIdgka_go_jmkhl9hvltirw6">
        <w:r>
          <w:rPr>
            <w:rFonts w:ascii="Arial" w:cs="Arial" w:eastAsia="Arial" w:hAnsi="Arial"/>
            <w:color w:val="1F1F1F"/>
            <w:sz w:val="19"/>
            <w:szCs w:val="19"/>
            <w:u w:val="single"/>
          </w:rPr>
          <w:t xml:space="preserve">UMP: app de mantenimiento de matafuegos</w:t>
        </w:r>
      </w:hyperlink>
    </w:p>
    <w:p>
      <w:pPr>
        <w:pStyle w:val="ListParagraph"/>
        <w:numPr>
          <w:ilvl w:val="0"/>
          <w:numId w:val="2"/>
        </w:numPr>
        <w:spacing w:after="40" w:before="0" w:line="276"/>
      </w:pPr>
      <w:r>
        <w:rPr>
          <w:rFonts w:ascii="Arial" w:cs="Arial" w:eastAsia="Arial" w:hAnsi="Arial"/>
          <w:color w:val="000000"/>
          <w:sz w:val="19"/>
          <w:szCs w:val="19"/>
        </w:rPr>
        <w:t xml:space="preserve">IRAM 3523:1983 5.1 · IRAM 3550 5.1 · IRAM 3517-2:2020 (cláusulas citadas) · Res. 349/07 PBA (art. 25, 28, 29, 32 y anexo IV). Se citan, no se transcriben.</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Sistema de trazabilidad FLAMA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wthk3d9d_v6p_w3rxovyk" Type="http://schemas.openxmlformats.org/officeDocument/2006/relationships/hyperlink" Target="https://www.directindustry.com/prod/pannier/product-24420-679289.html" TargetMode="External"/><Relationship Id="rIdstzykdvz3btegecojbm_4" Type="http://schemas.openxmlformats.org/officeDocument/2006/relationships/hyperlink" Target="https://www.thefabricator.com/thefabricator/product/shopmanagement/dot-peen-system-makes-marks-that-are-readable-after-coating" TargetMode="External"/><Relationship Id="rIdb4g3z_ogwf74zb7aoacmf" Type="http://schemas.openxmlformats.org/officeDocument/2006/relationships/hyperlink" Target="https://www.protocase.com/products/graphics-markings/dot-peening/" TargetMode="External"/><Relationship Id="rId4ywv6iz7omt4mjrxbdfbr" Type="http://schemas.openxmlformats.org/officeDocument/2006/relationships/hyperlink" Target="https://www.keyence.com/products/marker/laser-marker/resources/laser-marking-resources/shot-blast-resistant-laser-marking.jsp" TargetMode="External"/><Relationship Id="rIdx2xylsx1kiuj_oaqkuji3" Type="http://schemas.openxmlformats.org/officeDocument/2006/relationships/hyperlink" Target="https://github.com/zxing-cpp/zxing-cpp/" TargetMode="External"/><Relationship Id="rIdfxwkkla_ehdcgcf-4-6sj" Type="http://schemas.openxmlformats.org/officeDocument/2006/relationships/hyperlink" Target="https://desk.ximea.com/kb/articles/pdf/libdmtx" TargetMode="External"/><Relationship Id="rIddlnromzx3xetpltyydc00" Type="http://schemas.openxmlformats.org/officeDocument/2006/relationships/hyperlink" Target="https://engrxiv.org/preprint/view/6685" TargetMode="External"/><Relationship Id="rIdejoten1kdb6iewika6mex" Type="http://schemas.openxmlformats.org/officeDocument/2006/relationships/hyperlink" Target="https://hal.archives-ouvertes.fr/hal-03837669" TargetMode="External"/><Relationship Id="rId7qt4doy2jpcmwuj09oop_" Type="http://schemas.openxmlformats.org/officeDocument/2006/relationships/hyperlink" Target="https://www.gs1.org/epcis" TargetMode="External"/><Relationship Id="rIdzmmfeolwyjqsvfc6njsds" Type="http://schemas.openxmlformats.org/officeDocument/2006/relationships/hyperlink" Target="https://GS1.org/docs/epcis/epcis_2-0_launch.pdf" TargetMode="External"/><Relationship Id="rIdzxls5szx_4dt1cxw1rojr" Type="http://schemas.openxmlformats.org/officeDocument/2006/relationships/hyperlink" Target="https://www.conceptosjuridicos.com/ar/articulos/codigo-civil-y-comercial-articulo-1298/" TargetMode="External"/><Relationship Id="rIdokx7_ukw5uvktbf27smhv" Type="http://schemas.openxmlformats.org/officeDocument/2006/relationships/hyperlink" Target="https://web.arba.gov.ar/sites/default/files/2024-02/COT%20C%C3%B3digo%20de%20Operaci%C3%B3n%20Traslado%20o%20Transporteggti.pdf" TargetMode="External"/><Relationship Id="rId8tthz1yutbl3-_tnvudzp" Type="http://schemas.openxmlformats.org/officeDocument/2006/relationships/hyperlink" Target="https://economis.com.ar/?p=438705" TargetMode="External"/><Relationship Id="rIdkoshgf84nliasf5_zopxj" Type="http://schemas.openxmlformats.org/officeDocument/2006/relationships/hyperlink" Target="https://www.rfidtagworld.com/products/On-Metal-Tag/On-Metal-Tag_1548.html" TargetMode="External"/><Relationship Id="rIdhock1rtfuo6r677n0vqh2" Type="http://schemas.openxmlformats.org/officeDocument/2006/relationships/hyperlink" Target="https://news.ump.edu.my/research/ts-dr-wan-isni-sofiah-develops-mobile-application-streamline-fire-extinguisher-maintenance" TargetMode="External"/><Relationship Id="rId53vjm4hk78db9dngdqqsq" Type="http://schemas.openxmlformats.org/officeDocument/2006/relationships/hyperlink" Target="https://www.directindustry.com/prod/pannier/product-24420-679289.html" TargetMode="External"/><Relationship Id="rIdy_yutgp-cicm4bcfebpf3" Type="http://schemas.openxmlformats.org/officeDocument/2006/relationships/hyperlink" Target="https://www.thefabricator.com/thefabricator/product/shopmanagement/dot-peen-system-makes-marks-that-are-readable-after-coating" TargetMode="External"/><Relationship Id="rIdysg7ybh-lf1zlwc0v2tpz" Type="http://schemas.openxmlformats.org/officeDocument/2006/relationships/hyperlink" Target="https://www.protocase.com/products/graphics-markings/dot-peening/" TargetMode="External"/><Relationship Id="rIdpe4ouuclmne8yoecy_pg6" Type="http://schemas.openxmlformats.org/officeDocument/2006/relationships/hyperlink" Target="https://www.keyence.com/products/marker/laser-marker/resources/laser-marking-resources/shot-blast-resistant-laser-marking.jsp" TargetMode="External"/><Relationship Id="rIdeq9semyeqvsro4psa6xw4" Type="http://schemas.openxmlformats.org/officeDocument/2006/relationships/hyperlink" Target="https://www.gs1.org/epcis" TargetMode="External"/><Relationship Id="rIdmps63jsbp1cw3ninuuqzl" Type="http://schemas.openxmlformats.org/officeDocument/2006/relationships/hyperlink" Target="https://GS1.org/docs/epcis/epcis_2-0_launch.pdf" TargetMode="External"/><Relationship Id="rIdvczl-g9i6lvq771i6jop5" Type="http://schemas.openxmlformats.org/officeDocument/2006/relationships/hyperlink" Target="https://github.com/zxing-cpp/zxing-cpp/" TargetMode="External"/><Relationship Id="rId_u0rrcjgedguu31a0dlo9" Type="http://schemas.openxmlformats.org/officeDocument/2006/relationships/hyperlink" Target="https://desk.ximea.com/kb/articles/pdf/libdmtx" TargetMode="External"/><Relationship Id="rIdzxsorb2rr-celdll_rpu_" Type="http://schemas.openxmlformats.org/officeDocument/2006/relationships/hyperlink" Target="https://engrxiv.org/preprint/view/6685" TargetMode="External"/><Relationship Id="rIdcddwbyjolf1rzdpsb-htl" Type="http://schemas.openxmlformats.org/officeDocument/2006/relationships/hyperlink" Target="https://hal.archives-ouvertes.fr/hal-03837669" TargetMode="External"/><Relationship Id="rIdbku5cejoyuy1llttwxtav" Type="http://schemas.openxmlformats.org/officeDocument/2006/relationships/hyperlink" Target="https://www.conceptosjuridicos.com/ar/articulos/codigo-civil-y-comercial-articulo-1298/" TargetMode="External"/><Relationship Id="rIddydem92anxmvif7iyqpdo" Type="http://schemas.openxmlformats.org/officeDocument/2006/relationships/hyperlink" Target="https://web.arba.gov.ar/sites/default/files/2024-02/COT%20C%C3%B3digo%20de%20Operaci%C3%B3n%20Traslado%20o%20Transporteggti.pdf" TargetMode="External"/><Relationship Id="rIdeymmgmledal4apuqgbuu8" Type="http://schemas.openxmlformats.org/officeDocument/2006/relationships/hyperlink" Target="https://economis.com.ar/?p=438705" TargetMode="External"/><Relationship Id="rId3dxw6og5-pdslhnrlc7n8" Type="http://schemas.openxmlformats.org/officeDocument/2006/relationships/hyperlink" Target="https://www.rfidtagworld.com/products/On-Metal-Tag/On-Metal-Tag_1548.html" TargetMode="External"/><Relationship Id="rIdgka_go_jmkhl9hvltirw6" Type="http://schemas.openxmlformats.org/officeDocument/2006/relationships/hyperlink" Target="https://news.ump.edu.my/research/ts-dr-wan-isni-sofiah-develops-mobile-application-streamline-fire-extinguisher-maintenance" TargetMode="External"/><Relationship Id="rId38" Type="http://schemas.openxmlformats.org/officeDocument/2006/relationships/image" Target="media/5610b6ddbc14f6158b478c1a57d8126dcf0305fb.png"/><Relationship Id="rId39" Type="http://schemas.openxmlformats.org/officeDocument/2006/relationships/image" Target="media/0425f5cb61c05715a03a23b746a09c1039071cce.png"/><Relationship Id="rId40" Type="http://schemas.openxmlformats.org/officeDocument/2006/relationships/image" Target="media/a6c0c857da06dd60f217d963d8f14193a5c446a7.png"/><Relationship Id="rId41" Type="http://schemas.openxmlformats.org/officeDocument/2006/relationships/image" Target="media/6e92bd0d5d861bcd13678f9582c39f90041f86e5.png"/><Relationship Id="rId42" Type="http://schemas.openxmlformats.org/officeDocument/2006/relationships/image" Target="media/1c0e659342a0c3aac432dad96f840324082c9d5e.png"/><Relationship Id="rId43" Type="http://schemas.openxmlformats.org/officeDocument/2006/relationships/image" Target="media/bbc523fffaf1a861a76add1bac50f012e0d38c5f.png"/><Relationship Id="rId44" Type="http://schemas.openxmlformats.org/officeDocument/2006/relationships/image" Target="media/49c8603d0d19fe148cce2e4f95ac9fb4575c4111.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trazabilidad FLAMA</dc:title>
  <dc:creator>FLAMA</dc:creator>
  <cp:lastModifiedBy>Un-named</cp:lastModifiedBy>
  <cp:revision>1</cp:revision>
  <dcterms:created xsi:type="dcterms:W3CDTF">2026-10-23T03:07:01.514Z</dcterms:created>
  <dcterms:modified xsi:type="dcterms:W3CDTF">2026-10-23T03:07:01.514Z</dcterms:modified>
</cp:coreProperties>
</file>

<file path=docProps/custom.xml><?xml version="1.0" encoding="utf-8"?>
<Properties xmlns="http://schemas.openxmlformats.org/officeDocument/2006/custom-properties" xmlns:vt="http://schemas.openxmlformats.org/officeDocument/2006/docPropsVTypes"/>
</file>