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rFonts w:ascii="Arial" w:cs="Arial" w:eastAsia="Arial" w:hAnsi="Arial"/>
          <w:b/>
          <w:bCs/>
          <w:color w:val="000000"/>
          <w:sz w:val="36"/>
          <w:szCs w:val="36"/>
        </w:rPr>
        <w:t xml:space="preserve">Trazabilidad interna FLAMA</w:t>
      </w:r>
    </w:p>
    <w:p>
      <w:pPr>
        <w:spacing w:after="60" w:before="0" w:line="276"/>
      </w:pPr>
      <w:r>
        <w:rPr>
          <w:rFonts w:ascii="Arial" w:cs="Arial" w:eastAsia="Arial" w:hAnsi="Arial"/>
          <w:color w:val="595959"/>
          <w:sz w:val="20"/>
          <w:szCs w:val="20"/>
        </w:rPr>
        <w:t xml:space="preserve">Kanban de almacenes con planilla de conteo, fichas de control de los procesos críticos e identificación sin QR</w:t>
      </w:r>
    </w:p>
    <w:p>
      <w:pPr>
        <w:spacing w:after="60" w:before="0" w:line="276"/>
      </w:pPr>
      <w:r>
        <w:rPr>
          <w:rFonts w:ascii="Arial" w:cs="Arial" w:eastAsia="Arial" w:hAnsi="Arial"/>
          <w:color w:val="595959"/>
          <w:sz w:val="20"/>
          <w:szCs w:val="20"/>
        </w:rPr>
        <w:t xml:space="preserve">App: trazabilidad/simple (misma estructura y estilo que la app de gestión interna) · Datos: libros 2035 de MP, PT y balanceo</w:t>
      </w:r>
    </w:p>
    <w:p>
      <w:pPr>
        <w:pStyle w:val="Heading1"/>
        <w:keepNext/>
        <w:spacing w:after="120" w:before="240" w:line="276"/>
      </w:pPr>
      <w:r>
        <w:rPr>
          <w:rFonts w:ascii="Arial" w:cs="Arial" w:eastAsia="Arial" w:hAnsi="Arial"/>
          <w:color w:val="000000"/>
          <w:sz w:val="19"/>
          <w:szCs w:val="19"/>
        </w:rPr>
        <w:t xml:space="preserve">En una página</w:t>
      </w:r>
    </w:p>
    <w:p>
      <w:pPr>
        <w:pStyle w:val="ListParagraph"/>
        <w:numPr>
          <w:ilvl w:val="0"/>
          <w:numId w:val="2"/>
        </w:numPr>
        <w:spacing w:after="40" w:before="0" w:line="276"/>
      </w:pPr>
      <w:r>
        <w:rPr>
          <w:rFonts w:ascii="Arial" w:cs="Arial" w:eastAsia="Arial" w:hAnsi="Arial"/>
          <w:b/>
          <w:bCs/>
          <w:color w:val="000000"/>
          <w:sz w:val="19"/>
          <w:szCs w:val="19"/>
        </w:rPr>
        <w:t xml:space="preserve">Tres piezas.</w:t>
      </w:r>
      <w:r>
        <w:rPr>
          <w:rFonts w:ascii="Arial" w:cs="Arial" w:eastAsia="Arial" w:hAnsi="Arial"/>
          <w:color w:val="000000"/>
          <w:sz w:val="19"/>
          <w:szCs w:val="19"/>
        </w:rPr>
        <w:t xml:space="preserve"> Un kanban de los almacenes (MP y PT) que se llena con la planilla de conteo del almacén, una ficha por cada control crítico y una búsqueda que une todo por el número grabado. Sin cámaras.</w:t>
      </w:r>
    </w:p>
    <w:p>
      <w:pPr>
        <w:pStyle w:val="ListParagraph"/>
        <w:numPr>
          <w:ilvl w:val="0"/>
          <w:numId w:val="2"/>
        </w:numPr>
        <w:spacing w:after="40" w:before="0" w:line="276"/>
      </w:pPr>
      <w:r>
        <w:rPr>
          <w:rFonts w:ascii="Arial" w:cs="Arial" w:eastAsia="Arial" w:hAnsi="Arial"/>
          <w:b/>
          <w:bCs/>
          <w:color w:val="000000"/>
          <w:sz w:val="19"/>
          <w:szCs w:val="19"/>
        </w:rPr>
        <w:t xml:space="preserve">Sin QR.</w:t>
      </w:r>
      <w:r>
        <w:rPr>
          <w:rFonts w:ascii="Arial" w:cs="Arial" w:eastAsia="Arial" w:hAnsi="Arial"/>
          <w:color w:val="000000"/>
          <w:sz w:val="19"/>
          <w:szCs w:val="19"/>
        </w:rPr>
        <w:t xml:space="preserve"> El QR queda para la atención al cliente. Adentro de la planta, el producto propio se sigue por el n° de serie del marcado Pannier; el revendido, por el n° de la etiqueta de su fabricante; el equipo en recarga, por la orden de servicio y el n° grabado del recipiente.</w:t>
      </w:r>
    </w:p>
    <w:p>
      <w:pPr>
        <w:pStyle w:val="ListParagraph"/>
        <w:numPr>
          <w:ilvl w:val="0"/>
          <w:numId w:val="2"/>
        </w:numPr>
        <w:spacing w:after="40" w:before="0" w:line="276"/>
      </w:pPr>
      <w:r>
        <w:rPr>
          <w:rFonts w:ascii="Arial" w:cs="Arial" w:eastAsia="Arial" w:hAnsi="Arial"/>
          <w:b/>
          <w:bCs/>
          <w:color w:val="000000"/>
          <w:sz w:val="19"/>
          <w:szCs w:val="19"/>
        </w:rPr>
        <w:t xml:space="preserve">Marcado arriba de todo.</w:t>
      </w:r>
      <w:r>
        <w:rPr>
          <w:rFonts w:ascii="Arial" w:cs="Arial" w:eastAsia="Arial" w:hAnsi="Arial"/>
          <w:color w:val="000000"/>
          <w:sz w:val="19"/>
          <w:szCs w:val="19"/>
        </w:rPr>
        <w:t xml:space="preserve"> Una línea horizontal en el cuerpo, a la izquierda de la costura longitudinal, con el final siempre a 15 mm de la costura y a 20 mm del borde de la chapa. La faja amarilla de los sustitutos va entera en la pollera: ya no hay que cortarla.</w:t>
      </w:r>
    </w:p>
    <w:p>
      <w:pPr>
        <w:pStyle w:val="ListParagraph"/>
        <w:numPr>
          <w:ilvl w:val="0"/>
          <w:numId w:val="2"/>
        </w:numPr>
        <w:spacing w:after="40" w:before="0" w:line="276"/>
      </w:pPr>
      <w:r>
        <w:rPr>
          <w:rFonts w:ascii="Arial" w:cs="Arial" w:eastAsia="Arial" w:hAnsi="Arial"/>
          <w:b/>
          <w:bCs/>
          <w:color w:val="000000"/>
          <w:sz w:val="19"/>
          <w:szCs w:val="19"/>
        </w:rPr>
        <w:t xml:space="preserve">Puntos de pedido reales.</w:t>
      </w:r>
      <w:r>
        <w:rPr>
          <w:rFonts w:ascii="Arial" w:cs="Arial" w:eastAsia="Arial" w:hAnsi="Arial"/>
          <w:color w:val="000000"/>
          <w:sz w:val="19"/>
          <w:szCs w:val="19"/>
        </w:rPr>
        <w:t xml:space="preserve"> Las 125 MP salen de MP-FLAMA2035 › Stock_MP: seguridad, consumo mientras llega el pedido y stock máximo. Punto de pedido = seguridad + consumo mientras llega.</w:t>
      </w:r>
    </w:p>
    <w:p>
      <w:pPr>
        <w:pStyle w:val="ListParagraph"/>
        <w:numPr>
          <w:ilvl w:val="0"/>
          <w:numId w:val="2"/>
        </w:numPr>
        <w:spacing w:after="40" w:before="0" w:line="276"/>
      </w:pPr>
      <w:r>
        <w:rPr>
          <w:rFonts w:ascii="Arial" w:cs="Arial" w:eastAsia="Arial" w:hAnsi="Arial"/>
          <w:b/>
          <w:bCs/>
          <w:color w:val="000000"/>
          <w:sz w:val="19"/>
          <w:szCs w:val="19"/>
        </w:rPr>
        <w:t xml:space="preserve">PT por zonas y con fechas.</w:t>
      </w:r>
      <w:r>
        <w:rPr>
          <w:rFonts w:ascii="Arial" w:cs="Arial" w:eastAsia="Arial" w:hAnsi="Arial"/>
          <w:color w:val="000000"/>
          <w:sz w:val="19"/>
          <w:szCs w:val="19"/>
        </w:rPr>
        <w:t xml:space="preserve"> Rack de 15 módulos × 3 niveles × 2 (90 lugares), carros en el piso, andén de 20, reventa, sustitutos y la rama de pintura, con el mes de fabricación a la vista y el pallet más viejo marcado (FIFO).</w:t>
      </w:r>
    </w:p>
    <w:p>
      <w:pPr>
        <w:pStyle w:val="ListParagraph"/>
        <w:numPr>
          <w:ilvl w:val="0"/>
          <w:numId w:val="2"/>
        </w:numPr>
        <w:spacing w:after="40" w:before="0" w:line="276"/>
      </w:pPr>
      <w:r>
        <w:rPr>
          <w:rFonts w:ascii="Arial" w:cs="Arial" w:eastAsia="Arial" w:hAnsi="Arial"/>
          <w:b/>
          <w:bCs/>
          <w:color w:val="000000"/>
          <w:sz w:val="19"/>
          <w:szCs w:val="19"/>
        </w:rPr>
        <w:t xml:space="preserve">16 fichas.</w:t>
      </w:r>
      <w:r>
        <w:rPr>
          <w:rFonts w:ascii="Arial" w:cs="Arial" w:eastAsia="Arial" w:hAnsi="Arial"/>
          <w:color w:val="000000"/>
          <w:sz w:val="19"/>
          <w:szCs w:val="19"/>
        </w:rPr>
        <w:t xml:space="preserve"> 11 de fabricación (recepción de MP, marcado, tres soldaduras, espesor, PH, defectos, pintado, pérdidas, PT), 4 de recargas (MP, inspección interior, pérdidas, PT) y 1 de revendidos. Cada campo con criterio se marca en verde o rojo y la ficha queda conforme o no conforme.</w:t>
      </w:r>
    </w:p>
    <w:p>
      <w:pPr>
        <w:pStyle w:val="ListParagraph"/>
        <w:numPr>
          <w:ilvl w:val="0"/>
          <w:numId w:val="2"/>
        </w:numPr>
        <w:spacing w:after="40" w:before="0" w:line="276"/>
      </w:pPr>
      <w:r>
        <w:rPr>
          <w:rFonts w:ascii="Arial" w:cs="Arial" w:eastAsia="Arial" w:hAnsi="Arial"/>
          <w:b/>
          <w:bCs/>
          <w:color w:val="000000"/>
          <w:sz w:val="19"/>
          <w:szCs w:val="19"/>
        </w:rPr>
        <w:t xml:space="preserve">Misma estructura que la app de gestión interna.</w:t>
      </w:r>
      <w:r>
        <w:rPr>
          <w:rFonts w:ascii="Arial" w:cs="Arial" w:eastAsia="Arial" w:hAnsi="Arial"/>
          <w:color w:val="000000"/>
          <w:sz w:val="19"/>
          <w:szCs w:val="19"/>
        </w:rPr>
        <w:t xml:space="preserve"> Barra de contexto, encabezado con pestañas, búsqueda y «Nueva ficha», dashboard con mapa de flujo, y el layout de planta sobre el plano rev22 con zoom, filtros por línea y el recorrido de cada lote.</w:t>
      </w:r>
    </w:p>
    <w:p>
      <w:pPr>
        <w:keepNext/>
        <w:spacing w:after="60"/>
        <w:jc w:val="center"/>
      </w:pPr>
      <w:r>
        <w:drawing>
          <wp:inline distT="0" distB="0" distL="0" distR="0">
            <wp:extent cx="5400675"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84201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 Dashboard (datos de ejemplo): indicadores, mapa de flujo por línea según la última ficha de cada lote, entradas y salidas de 14 días, lotes en curso, MP para pedir, PT y actividad de las fichas.</w:t>
      </w:r>
    </w:p>
    <w:p>
      <w:pPr>
        <w:pStyle w:val="Heading1"/>
        <w:keepNext/>
        <w:spacing w:after="120" w:before="240" w:line="276"/>
      </w:pPr>
      <w:r>
        <w:rPr>
          <w:rFonts w:ascii="Arial" w:cs="Arial" w:eastAsia="Arial" w:hAnsi="Arial"/>
          <w:color w:val="000000"/>
          <w:sz w:val="19"/>
          <w:szCs w:val="19"/>
        </w:rPr>
        <w:t xml:space="preserve">1. Qué identifica a cada cosa (sin QR)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2740"/>
        <w:gridCol w:w="2951"/>
        <w:gridCol w:w="1897"/>
      </w:tblGrid>
      <w:tr>
        <w:trPr>
          <w:cantSplit/>
          <w:tblHeader/>
        </w:trPr>
        <w:tc>
          <w:tcPr>
            <w:tcW w:type="dxa" w:w="231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w:t>
            </w:r>
          </w:p>
        </w:tc>
        <w:tc>
          <w:tcPr>
            <w:tcW w:type="dxa" w:w="274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Número</w:t>
            </w:r>
          </w:p>
        </w:tc>
        <w:tc>
          <w:tcPr>
            <w:tcW w:type="dxa" w:w="295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Dónde está</w:t>
            </w:r>
          </w:p>
        </w:tc>
        <w:tc>
          <w:tcPr>
            <w:tcW w:type="dxa" w:w="189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 carga en</w:t>
            </w:r>
          </w:p>
        </w:tc>
      </w:tr>
      <w:tr>
        <w:trPr>
          <w:cantSplit/>
        </w:trPr>
        <w:tc>
          <w:tcPr>
            <w:tcW w:type="dxa" w:w="231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o cilindro propio</w:t>
            </w:r>
          </w:p>
        </w:tc>
        <w:tc>
          <w:tcPr>
            <w:tcW w:type="dxa" w:w="27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 de serie + año</w:t>
            </w:r>
          </w:p>
        </w:tc>
        <w:tc>
          <w:tcPr>
            <w:tcW w:type="dxa" w:w="29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Marcado Pannier en el cuerpo</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FAB-02 y siguientes</w:t>
            </w:r>
          </w:p>
        </w:tc>
      </w:tr>
      <w:tr>
        <w:trPr>
          <w:cantSplit/>
        </w:trPr>
        <w:tc>
          <w:tcPr>
            <w:tcW w:type="dxa" w:w="231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Lote de fabricación</w:t>
            </w:r>
          </w:p>
        </w:tc>
        <w:tc>
          <w:tcPr>
            <w:tcW w:type="dxa" w:w="27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Orden de producción + rango de series</w:t>
            </w:r>
          </w:p>
        </w:tc>
        <w:tc>
          <w:tcPr>
            <w:tcW w:type="dxa" w:w="29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de ruta del lote</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Todas las FAB</w:t>
            </w:r>
          </w:p>
        </w:tc>
      </w:tr>
      <w:tr>
        <w:trPr>
          <w:cantSplit/>
        </w:trPr>
        <w:tc>
          <w:tcPr>
            <w:tcW w:type="dxa" w:w="231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Chapa y fleje</w:t>
            </w:r>
          </w:p>
        </w:tc>
        <w:tc>
          <w:tcPr>
            <w:tcW w:type="dxa" w:w="27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Colada del certificado</w:t>
            </w:r>
          </w:p>
        </w:tc>
        <w:tc>
          <w:tcPr>
            <w:tcW w:type="dxa" w:w="29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del paquete o rollo</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FAB-01 → FAB-02</w:t>
            </w:r>
          </w:p>
        </w:tc>
      </w:tr>
      <w:tr>
        <w:trPr>
          <w:cantSplit/>
        </w:trPr>
        <w:tc>
          <w:tcPr>
            <w:tcW w:type="dxa" w:w="231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 y agentes</w:t>
            </w:r>
          </w:p>
        </w:tc>
        <w:tc>
          <w:tcPr>
            <w:tcW w:type="dxa" w:w="27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Lote del proveedor</w:t>
            </w:r>
          </w:p>
        </w:tc>
        <w:tc>
          <w:tcPr>
            <w:tcW w:type="dxa" w:w="29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Bulto</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FAB-01, REC-01</w:t>
            </w:r>
          </w:p>
        </w:tc>
      </w:tr>
      <w:tr>
        <w:trPr>
          <w:cantSplit/>
        </w:trPr>
        <w:tc>
          <w:tcPr>
            <w:tcW w:type="dxa" w:w="231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Revendido</w:t>
            </w:r>
          </w:p>
        </w:tc>
        <w:tc>
          <w:tcPr>
            <w:tcW w:type="dxa" w:w="27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 de serie del fabricante</w:t>
            </w:r>
          </w:p>
        </w:tc>
        <w:tc>
          <w:tcPr>
            <w:tcW w:type="dxa" w:w="29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 etiqueta o grabado</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REV-01</w:t>
            </w:r>
          </w:p>
        </w:tc>
      </w:tr>
      <w:tr>
        <w:trPr>
          <w:cantSplit/>
        </w:trPr>
        <w:tc>
          <w:tcPr>
            <w:tcW w:type="dxa" w:w="231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 en recarga</w:t>
            </w:r>
          </w:p>
        </w:tc>
        <w:tc>
          <w:tcPr>
            <w:tcW w:type="dxa" w:w="27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Orden de servicio + n° de serie grabado</w:t>
            </w:r>
          </w:p>
        </w:tc>
        <w:tc>
          <w:tcPr>
            <w:tcW w:type="dxa" w:w="29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Recipiente del cliente</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REC-02 a REC-04</w:t>
            </w:r>
          </w:p>
        </w:tc>
      </w:tr>
      <w:tr>
        <w:trPr>
          <w:cantSplit/>
        </w:trPr>
        <w:tc>
          <w:tcPr>
            <w:tcW w:type="dxa" w:w="231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PT</w:t>
            </w:r>
          </w:p>
        </w:tc>
        <w:tc>
          <w:tcPr>
            <w:tcW w:type="dxa" w:w="274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PAL-nnnn + lugar</w:t>
            </w:r>
          </w:p>
        </w:tc>
        <w:tc>
          <w:tcPr>
            <w:tcW w:type="dxa" w:w="29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pallet</w:t>
            </w:r>
          </w:p>
        </w:tc>
        <w:tc>
          <w:tcPr>
            <w:tcW w:type="dxa" w:w="18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FAB-11, REV-01</w:t>
            </w:r>
          </w:p>
        </w:tc>
      </w:tr>
    </w:tbl>
    <w:p>
      <w:pPr>
        <w:spacing w:after="120"/>
      </w:pPr>
    </w:p>
    <w:p>
      <w:pPr>
        <w:pStyle w:val="Heading2"/>
        <w:keepNext/>
        <w:spacing w:after="80" w:before="180" w:line="276"/>
      </w:pPr>
      <w:r>
        <w:rPr>
          <w:rFonts w:ascii="Arial" w:cs="Arial" w:eastAsia="Arial" w:hAnsi="Arial"/>
          <w:color w:val="000000"/>
          <w:sz w:val="19"/>
          <w:szCs w:val="19"/>
        </w:rPr>
        <w:t xml:space="preserve">1.1 Marcado Pannier del producto propio</w:t>
      </w:r>
    </w:p>
    <w:p>
      <w:pPr>
        <w:keepNext/>
        <w:spacing w:after="60"/>
        <w:jc w:val="center"/>
      </w:pPr>
      <w:r>
        <w:drawing>
          <wp:inline distT="0" distB="0" distL="0" distR="0">
            <wp:extent cx="4324350" cy="2714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27146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2. Marcado en el cuerpo: arriba, a la izquierda de la costura, en una línea; faja de sustituto entera en la pollera (esquemático).</w:t>
      </w:r>
    </w:p>
    <w:p>
      <w:pPr>
        <w:pStyle w:val="ListParagraph"/>
        <w:numPr>
          <w:ilvl w:val="0"/>
          <w:numId w:val="2"/>
        </w:numPr>
        <w:spacing w:after="40" w:before="0" w:line="276"/>
      </w:pPr>
      <w:r>
        <w:rPr>
          <w:rFonts w:ascii="Arial" w:cs="Arial" w:eastAsia="Arial" w:hAnsi="Arial"/>
          <w:b/>
          <w:bCs/>
          <w:color w:val="000000"/>
          <w:sz w:val="19"/>
          <w:szCs w:val="19"/>
        </w:rPr>
        <w:t xml:space="preserve">Cuándo.</w:t>
      </w:r>
      <w:r>
        <w:rPr>
          <w:rFonts w:ascii="Arial" w:cs="Arial" w:eastAsia="Arial" w:hAnsi="Arial"/>
          <w:color w:val="000000"/>
          <w:sz w:val="19"/>
          <w:szCs w:val="19"/>
        </w:rPr>
        <w:t xml:space="preserve"> En el puesto 6 del balanceo («Marcado del cuerpo (manuales + carros)»): la Pannier marca el desarrollo todavía plano, entre la guillotina 2 y el cilindrado (Balanceo-FLAMA2035 › Carga, fila 39). Desde ahí el cuerpo ya tiene su número, y cada ficha siguiente lo usa. Al marcar en plano, el texto no tiene que seguir la curva del cuerpo.</w:t>
      </w:r>
    </w:p>
    <w:p>
      <w:pPr>
        <w:pStyle w:val="ListParagraph"/>
        <w:numPr>
          <w:ilvl w:val="0"/>
          <w:numId w:val="2"/>
        </w:numPr>
        <w:spacing w:after="40" w:before="0" w:line="276"/>
      </w:pPr>
      <w:r>
        <w:rPr>
          <w:rFonts w:ascii="Arial" w:cs="Arial" w:eastAsia="Arial" w:hAnsi="Arial"/>
          <w:b/>
          <w:bCs/>
          <w:color w:val="000000"/>
          <w:sz w:val="19"/>
          <w:szCs w:val="19"/>
        </w:rPr>
        <w:t xml:space="preserve">Qué dice.</w:t>
      </w:r>
      <w:r>
        <w:rPr>
          <w:rFonts w:ascii="Arial" w:cs="Arial" w:eastAsia="Arial" w:hAnsi="Arial"/>
          <w:color w:val="000000"/>
          <w:sz w:val="19"/>
          <w:szCs w:val="19"/>
        </w:rPr>
        <w:t xml:space="preserve"> Fabricante, n° de serie y año (IRAM 3523 5.1); en los carros también la presión de ensayo (IRAM 3550 5.1); el cuño DPS 15 × 7 al final (Res. 349/07 anexo IV). Una sola línea horizontal y sin código 2D.</w:t>
      </w:r>
    </w:p>
    <w:p>
      <w:pPr>
        <w:pStyle w:val="ListParagraph"/>
        <w:numPr>
          <w:ilvl w:val="0"/>
          <w:numId w:val="2"/>
        </w:numPr>
        <w:spacing w:after="40" w:before="0" w:line="276"/>
      </w:pPr>
      <w:r>
        <w:rPr>
          <w:rFonts w:ascii="Arial" w:cs="Arial" w:eastAsia="Arial" w:hAnsi="Arial"/>
          <w:b/>
          <w:bCs/>
          <w:color w:val="000000"/>
          <w:sz w:val="19"/>
          <w:szCs w:val="19"/>
        </w:rPr>
        <w:t xml:space="preserve">Dónde.</w:t>
      </w:r>
      <w:r>
        <w:rPr>
          <w:rFonts w:ascii="Arial" w:cs="Arial" w:eastAsia="Arial" w:hAnsi="Arial"/>
          <w:color w:val="000000"/>
          <w:sz w:val="19"/>
          <w:szCs w:val="19"/>
        </w:rPr>
        <w:t xml:space="preserve"> El mismo lugar de la chapa en todos los modelos: el final del marcado (el cuño) a 15 mm del borde que forma la costura y el borde de arriba a 20 mm del borde superior de la chapa. El texto crece hacia la izquierda: 109 mm en los manuales y 153 mm en los carros. Los 15 y 20 mm son criterio (libran el cordón y el bordón).</w:t>
      </w:r>
    </w:p>
    <w:p>
      <w:pPr>
        <w:pStyle w:val="ListParagraph"/>
        <w:numPr>
          <w:ilvl w:val="0"/>
          <w:numId w:val="2"/>
        </w:numPr>
        <w:spacing w:after="40" w:before="0" w:line="276"/>
      </w:pPr>
      <w:r>
        <w:rPr>
          <w:rFonts w:ascii="Arial" w:cs="Arial" w:eastAsia="Arial" w:hAnsi="Arial"/>
          <w:b/>
          <w:bCs/>
          <w:color w:val="000000"/>
          <w:sz w:val="19"/>
          <w:szCs w:val="19"/>
        </w:rPr>
        <w:t xml:space="preserve">Por qué arriba.</w:t>
      </w:r>
      <w:r>
        <w:rPr>
          <w:rFonts w:ascii="Arial" w:cs="Arial" w:eastAsia="Arial" w:hAnsi="Arial"/>
          <w:color w:val="000000"/>
          <w:sz w:val="19"/>
          <w:szCs w:val="19"/>
        </w:rPr>
        <w:t xml:space="preserve"> Queda por encima de la etiqueta y lejos de la pollera, así que la faja amarilla del sustituto (≤ 40 mm en la pollera, IRAM 3517-2:2020 9.4.5 b) se pega entera, sin cortes. Los planos FL_MAT (hoja 4, R7) y FL_REC (hoja 3, R3) ya lo muestran acotado.</w:t>
      </w:r>
    </w:p>
    <w:p>
      <w:pPr>
        <w:pStyle w:val="Heading2"/>
        <w:keepNext/>
        <w:spacing w:after="80" w:before="180" w:line="276"/>
      </w:pPr>
      <w:r>
        <w:rPr>
          <w:rFonts w:ascii="Arial" w:cs="Arial" w:eastAsia="Arial" w:hAnsi="Arial"/>
          <w:color w:val="000000"/>
          <w:sz w:val="19"/>
          <w:szCs w:val="19"/>
        </w:rPr>
        <w:t xml:space="preserve">1.2 Revendidos y recargas</w:t>
      </w:r>
    </w:p>
    <w:p>
      <w:pPr>
        <w:spacing w:after="100" w:before="0" w:line="276"/>
      </w:pPr>
      <w:r>
        <w:rPr>
          <w:rFonts w:ascii="Arial" w:cs="Arial" w:eastAsia="Arial" w:hAnsi="Arial"/>
          <w:color w:val="000000"/>
          <w:sz w:val="19"/>
          <w:szCs w:val="19"/>
        </w:rPr>
        <w:t xml:space="preserve">FLAMA no vuelve a marcar lo que no fabrica. El revendido se recibe con la ficha REV-01, donde se copia el n° de serie de la etiqueta o el grabado de su fabricante (uno por línea), la marca, el año y el sello IRAM; queda en la zona de reventa del PT y sale con su remito. En recargas, el equipo del cliente se sigue con la orden de servicio y el n° de serie que grabó su fabricante.</w:t>
      </w:r>
    </w:p>
    <w:p>
      <w:pPr>
        <w:pStyle w:val="Heading1"/>
        <w:keepNext/>
        <w:spacing w:after="120" w:before="240" w:line="276"/>
      </w:pPr>
      <w:r>
        <w:rPr>
          <w:rFonts w:ascii="Arial" w:cs="Arial" w:eastAsia="Arial" w:hAnsi="Arial"/>
          <w:color w:val="000000"/>
          <w:sz w:val="19"/>
          <w:szCs w:val="19"/>
        </w:rPr>
        <w:t xml:space="preserve">2. Kanban de los almacenes de MP</w:t>
      </w:r>
    </w:p>
    <w:p>
      <w:pPr>
        <w:spacing w:after="100" w:before="0" w:line="276"/>
      </w:pPr>
      <w:r>
        <w:rPr>
          <w:rFonts w:ascii="Arial" w:cs="Arial" w:eastAsia="Arial" w:hAnsi="Arial"/>
          <w:color w:val="000000"/>
          <w:sz w:val="19"/>
          <w:szCs w:val="19"/>
        </w:rPr>
        <w:t xml:space="preserve">Cada MP es una tarjeta. La tarjeta cambia de columna con cada planilla de conteo, retiro a la línea o recepción: bajo seguridad, para pedir (en el punto de pedido), pedido en camino, bien o sin conteo. La barra muestra el stock contra el máximo, con una marca roja en la seguridad y una negra en el punto de pedido.</w:t>
      </w:r>
    </w:p>
    <w:p>
      <w:pPr>
        <w:spacing w:after="120" w:before="0" w:line="276"/>
      </w:pPr>
      <w:r>
        <w:rPr>
          <w:rFonts w:ascii="Arial" w:cs="Arial" w:eastAsia="Arial" w:hAnsi="Arial"/>
          <w:color w:val="595959"/>
          <w:sz w:val="16"/>
          <w:szCs w:val="16"/>
        </w:rPr>
        <w:t xml:space="preserve">Punto de pedido = stock de seguridad (Stock_MP, columna L) + consumo mientras llega el pedido (columna K). Es lo que tiene que quedar cuando sale el pedido para que la entrega llegue antes de tocar la seguridad. Se compara con la posición (stock + lo pedido que viene en camino); la seguridad, con el stock físico. La revisión periódica del Word de MP (sección 9: cada 10, 20 o 60 días hábiles se pide hasta el máximo) sigue: el kanban avisa si entre dos revisiones se cruza el punto.</w:t>
      </w:r>
    </w:p>
    <w:p>
      <w:pPr>
        <w:keepNext/>
        <w:spacing w:after="60"/>
        <w:jc w:val="center"/>
      </w:pPr>
      <w:r>
        <w:drawing>
          <wp:inline distT="0" distB="0" distL="0" distR="0">
            <wp:extent cx="5400675" cy="3371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3718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3. Kanban de MP con los conteos de ejemplo.</w:t>
      </w:r>
    </w:p>
    <w:p>
      <w:pPr>
        <w:keepNext/>
        <w:spacing w:after="60"/>
        <w:jc w:val="center"/>
      </w:pPr>
      <w:r>
        <w:drawing>
          <wp:inline distT="0" distB="0" distL="0" distR="0">
            <wp:extent cx="5400675" cy="3371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3718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4. Tarjeta de una MP: de dónde sale cada número, su lugar en el almacén, el movimiento (conteo o retiro) y el pedido sugerido hasta el máximo.</w:t>
      </w:r>
    </w:p>
    <w:p>
      <w:pPr>
        <w:pStyle w:val="Heading2"/>
        <w:keepNext/>
        <w:spacing w:after="80" w:before="180" w:line="276"/>
      </w:pPr>
      <w:r>
        <w:rPr>
          <w:rFonts w:ascii="Arial" w:cs="Arial" w:eastAsia="Arial" w:hAnsi="Arial"/>
          <w:color w:val="000000"/>
          <w:sz w:val="19"/>
          <w:szCs w:val="19"/>
        </w:rPr>
        <w:t xml:space="preserve">2.1 La planilla de conteo del almacén</w:t>
      </w:r>
    </w:p>
    <w:p>
      <w:pPr>
        <w:spacing w:after="100" w:before="0" w:line="276"/>
      </w:pPr>
      <w:r>
        <w:rPr>
          <w:rFonts w:ascii="Arial" w:cs="Arial" w:eastAsia="Arial" w:hAnsi="Arial"/>
          <w:color w:val="000000"/>
          <w:sz w:val="19"/>
          <w:szCs w:val="19"/>
        </w:rPr>
        <w:t xml:space="preserve">El stock se carga con una planilla de Excel, una hoja por almacén, con los códigos en el orden de sus lugares (salida/Planilla_conteo_MP.xlsx; la app también la descarga, entera o de un almacén). El almacenero recorre los lugares, anota lo que hay en «Stock contado» con la fecha y quién contó, y la sube en «Cargar planilla». La app lee todas las hojas, muestra antes de aplicar qué códigos cambian y en qué estado quedan, y avisa los códigos que no existen. También acepta CSV o pegar dos columnas copiadas de Excel (código y stock).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4"/>
        <w:gridCol w:w="3962"/>
        <w:gridCol w:w="3170"/>
      </w:tblGrid>
      <w:tr>
        <w:trPr>
          <w:cantSplit/>
          <w:tblHeader/>
        </w:trPr>
        <w:tc>
          <w:tcPr>
            <w:tcW w:type="dxa" w:w="277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Columna</w:t>
            </w:r>
          </w:p>
        </w:tc>
        <w:tc>
          <w:tcPr>
            <w:tcW w:type="dxa" w:w="396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es</w:t>
            </w:r>
          </w:p>
        </w:tc>
        <w:tc>
          <w:tcPr>
            <w:tcW w:type="dxa" w:w="317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De dónde sale</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Lugar</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Lugar o lugares fijos del código</w:t>
            </w:r>
          </w:p>
        </w:tc>
        <w:tc>
          <w:tcPr>
            <w:tcW w:type="dxa" w:w="31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Reparto de la sección 2.2</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Código · Material · UM · Se compra en</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Identificación y unidad en que se cuenta</w:t>
            </w:r>
          </w:p>
        </w:tc>
        <w:tc>
          <w:tcPr>
            <w:tcW w:type="dxa" w:w="31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Stock_MP, columnas B, C, D y M</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Seguridad · Punto de pedido · Máximo</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Las tres marcas de la tarjeta</w:t>
            </w:r>
          </w:p>
        </w:tc>
        <w:tc>
          <w:tcPr>
            <w:tcW w:type="dxa" w:w="31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Stock_MP L, L + K y S</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Consumo por día</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 que se usa por día hábil</w:t>
            </w:r>
          </w:p>
        </w:tc>
        <w:tc>
          <w:tcPr>
            <w:tcW w:type="dxa" w:w="31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Stock_MP G (consumo del año ÷ 240)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 contado</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 que anota el almacenero (celda amarilla)</w:t>
            </w:r>
          </w:p>
        </w:tc>
        <w:tc>
          <w:tcPr>
            <w:tcW w:type="dxa" w:w="31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Conteo</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Días de stock</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Cuántos días alcanza lo contado (fórmula)</w:t>
            </w:r>
          </w:p>
        </w:tc>
        <w:tc>
          <w:tcPr>
            <w:tcW w:type="dxa" w:w="31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 contado ÷ consumo por día</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Estado</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BAJO SEGURIDAD, PEDIR u OK (fórmula)</w:t>
            </w:r>
          </w:p>
        </w:tc>
        <w:tc>
          <w:tcPr>
            <w:tcW w:type="dxa" w:w="31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Contra seguridad y punto de pedido</w:t>
            </w:r>
          </w:p>
        </w:tc>
      </w:tr>
    </w:tbl>
    <w:p>
      <w:pPr>
        <w:spacing w:after="120"/>
      </w:pPr>
    </w:p>
    <w:p>
      <w:pPr>
        <w:pStyle w:val="ListParagraph"/>
        <w:numPr>
          <w:ilvl w:val="0"/>
          <w:numId w:val="2"/>
        </w:numPr>
        <w:spacing w:after="40" w:before="0" w:line="276"/>
      </w:pPr>
      <w:r>
        <w:rPr>
          <w:rFonts w:ascii="Arial" w:cs="Arial" w:eastAsia="Arial" w:hAnsi="Arial"/>
          <w:b/>
          <w:bCs/>
          <w:color w:val="000000"/>
          <w:sz w:val="19"/>
          <w:szCs w:val="19"/>
        </w:rPr>
        <w:t xml:space="preserve">Cuándo se cuenta.</w:t>
      </w:r>
      <w:r>
        <w:rPr>
          <w:rFonts w:ascii="Arial" w:cs="Arial" w:eastAsia="Arial" w:hAnsi="Arial"/>
          <w:color w:val="000000"/>
          <w:sz w:val="19"/>
          <w:szCs w:val="19"/>
        </w:rPr>
        <w:t xml:space="preserve"> En cada revisión periódica del proveedor (Word de MP, sección 9) y siempre que un retiro deje una tarjeta cerca del punto de pedido. Entre conteos, los retiros a la línea y las recepciones (FAB-01, REC-01) mueven la tarjeta solos. La frecuencia por almacén queda como criterio a ajustar con el uso.</w:t>
      </w:r>
    </w:p>
    <w:p>
      <w:pPr>
        <w:keepNext/>
        <w:spacing w:after="60"/>
        <w:jc w:val="center"/>
      </w:pPr>
      <w:r>
        <w:drawing>
          <wp:inline distT="0" distB="0" distL="0" distR="0">
            <wp:extent cx="5400675" cy="3371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3718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5. Carga de la planilla: vista previa con el stock anterior, lo contado y el estado en que queda cada código.</w:t>
      </w:r>
    </w:p>
    <w:p>
      <w:pPr>
        <w:pStyle w:val="Heading2"/>
        <w:keepNext/>
        <w:spacing w:after="80" w:before="180" w:line="276"/>
      </w:pPr>
      <w:r>
        <w:rPr>
          <w:rFonts w:ascii="Arial" w:cs="Arial" w:eastAsia="Arial" w:hAnsi="Arial"/>
          <w:color w:val="000000"/>
          <w:sz w:val="19"/>
          <w:szCs w:val="19"/>
        </w:rPr>
        <w:t xml:space="preserve">2.2 Lugares del almacén</w:t>
      </w:r>
    </w:p>
    <w:p>
      <w:pPr>
        <w:spacing w:after="100" w:before="0" w:line="276"/>
      </w:pPr>
      <w:r>
        <w:rPr>
          <w:rFonts w:ascii="Arial" w:cs="Arial" w:eastAsia="Arial" w:hAnsi="Arial"/>
          <w:color w:val="000000"/>
          <w:sz w:val="19"/>
          <w:szCs w:val="19"/>
        </w:rPr>
        <w:t xml:space="preserve">La pestaña «Almacén MP» dibuja cada almacén con sus lugares reales (MP-FLAMA2035 › Almacenes, columna E) y el código que vive en cada uno, porque «cada código tiene su lugar fijo y su etiqueta en el larguero» (Word de MP, sección 8). Los racks se dibujan por módulo, con 2 pallets por nivel, piso y 2 largueros (sección 8); el de flejes con 4 alturas (sección 6.2). Las pilas de chapa, el polvo, el cantilever, la estantería de identificación y la jaula de gases, como lugares en fila.</w:t>
      </w:r>
    </w:p>
    <w:p>
      <w:pPr>
        <w:pStyle w:val="ListParagraph"/>
        <w:numPr>
          <w:ilvl w:val="0"/>
          <w:numId w:val="2"/>
        </w:numPr>
        <w:spacing w:after="40" w:before="0" w:line="276"/>
      </w:pPr>
      <w:r>
        <w:rPr>
          <w:rFonts w:ascii="Arial" w:cs="Arial" w:eastAsia="Arial" w:hAnsi="Arial"/>
          <w:b/>
          <w:bCs/>
          <w:color w:val="000000"/>
          <w:sz w:val="19"/>
          <w:szCs w:val="19"/>
        </w:rPr>
        <w:t xml:space="preserve">Reparto (criterio).</w:t>
      </w:r>
      <w:r>
        <w:rPr>
          <w:rFonts w:ascii="Arial" w:cs="Arial" w:eastAsia="Arial" w:hAnsi="Arial"/>
          <w:color w:val="000000"/>
          <w:sz w:val="19"/>
          <w:szCs w:val="19"/>
        </w:rPr>
        <w:t xml:space="preserve"> Cada código ocupa los lugares enteros de su columna U de Stock_MP (cuánto ocupa su stock máximo); los restos de varios códigos comparten un lugar, de mayor a menor, en el primero donde entran. En los racks, los lugares de un mismo código quedan apilados en la misma columna: abajo el que se usa, arriba la reposición. En insumos de recargas no alcanza con lugares enteros (6,98 lugares de stock en 7) y los códigos se ubican de corrido.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4"/>
        <w:gridCol w:w="2972"/>
        <w:gridCol w:w="991"/>
        <w:gridCol w:w="1090"/>
        <w:gridCol w:w="991"/>
        <w:gridCol w:w="1088"/>
      </w:tblGrid>
      <w:tr>
        <w:trPr>
          <w:cantSplit/>
          <w:tblHeader/>
        </w:trPr>
        <w:tc>
          <w:tcPr>
            <w:tcW w:type="dxa" w:w="277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Almacén</w:t>
            </w:r>
          </w:p>
        </w:tc>
        <w:tc>
          <w:tcPr>
            <w:tcW w:type="dxa" w:w="297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Estantería</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Lugares</w:t>
            </w:r>
          </w:p>
        </w:tc>
        <w:tc>
          <w:tcPr>
            <w:tcW w:type="dxa" w:w="109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Suma de U</w:t>
            </w:r>
          </w:p>
        </w:tc>
        <w:tc>
          <w:tcPr>
            <w:tcW w:type="dxa" w:w="99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Códigos</w:t>
            </w:r>
          </w:p>
        </w:tc>
        <w:tc>
          <w:tcPr>
            <w:tcW w:type="dxa" w:w="108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Libres</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Chapa (pilas en el piso)</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Apilado en bloque</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7,00</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Flejes (rack + volteador)</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2.000 kg/nivel</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14,00</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Cantilever de caños y barras</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Cantilever (fabricación propia)</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Depósito de polvo químico</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Apilado en bloque</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7,97</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Embalaje</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500 kg/nivel</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26,07</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Identificación</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Estantería liviana</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6,80</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 de montaje (manuales)</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1.000 kg/nivel</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18,49</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 de recargas</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1.000 kg/nivel</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6,98</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 de soldadura y superficie</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1.000 kg/nivel</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4,45</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Jaula de gases</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Jaula exterior ventilada</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6,40</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de casquetes y cuplas (carros)</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2.000 kg/nivel</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5,86</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de insumos de montaje (carros)</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500 kg/nivel</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7,09</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r>
        <w:trPr>
          <w:cantSplit/>
        </w:trPr>
        <w:tc>
          <w:tcPr>
            <w:tcW w:type="dxa" w:w="277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Almacén de producto terminado</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(va en el almacén de PT)</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12,77</w:t>
            </w:r>
          </w:p>
        </w:tc>
        <w:tc>
          <w:tcPr>
            <w:tcW w:type="dxa" w:w="99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10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w:t>
            </w:r>
          </w:p>
        </w:tc>
      </w:tr>
    </w:tbl>
    <w:p>
      <w:pPr>
        <w:spacing w:after="120"/>
      </w:pPr>
    </w:p>
    <w:p>
      <w:pPr>
        <w:spacing w:after="120" w:before="0" w:line="276"/>
      </w:pPr>
      <w:r>
        <w:rPr>
          <w:rFonts w:ascii="Arial" w:cs="Arial" w:eastAsia="Arial" w:hAnsi="Arial"/>
          <w:color w:val="595959"/>
          <w:sz w:val="16"/>
          <w:szCs w:val="16"/>
        </w:rPr>
        <w:t xml:space="preserve">Lugares: Almacenes, filas 19 a 31 (13 de reventa en el PT, Balanceo › Pulmones sección 6). Suma de U: Stock_MP, columna U.</w:t>
      </w:r>
    </w:p>
    <w:p>
      <w:pPr>
        <w:spacing w:after="100" w:before="0" w:line="276"/>
      </w:pPr>
      <w:r>
        <w:rPr>
          <w:rFonts w:ascii="Arial" w:cs="Arial" w:eastAsia="Arial" w:hAnsi="Arial"/>
          <w:color w:val="000000"/>
          <w:sz w:val="19"/>
          <w:szCs w:val="19"/>
        </w:rPr>
        <w:t xml:space="preserve">Cada lugar se dibuja en el formato en que se guarda (Almacenes, columnas C e I): paquetes de hojas sobre tacos, rollos acostados en el pallet, atados en los brazos del cantilever, big bags, pallets en rack, cajas en estantería liviana, cilindros en la jaula y matafuegos en pallet. El dibujo se llena con el stock contra el máximo y toma el color del estado del código; el mismo dibujo aparece en cada tarjeta del kanban.</w:t>
      </w:r>
    </w:p>
    <w:p>
      <w:pPr>
        <w:keepNext/>
        <w:spacing w:after="60"/>
        <w:jc w:val="center"/>
      </w:pPr>
      <w:r>
        <w:drawing>
          <wp:inline distT="0" distB="0" distL="0" distR="0">
            <wp:extent cx="5400675" cy="4686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46863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6. Almacén de MP: cada lugar con su código y el dibujo de su formato, lleno según el stock y coloreado por el estado. Arriba, accesos a cada almacén con la cantidad para pedir.</w:t>
      </w:r>
    </w:p>
    <w:p>
      <w:pPr>
        <w:pStyle w:val="Heading2"/>
        <w:keepNext/>
        <w:spacing w:after="80" w:before="180" w:line="276"/>
      </w:pPr>
      <w:r>
        <w:rPr>
          <w:rFonts w:ascii="Arial" w:cs="Arial" w:eastAsia="Arial" w:hAnsi="Arial"/>
          <w:color w:val="000000"/>
          <w:sz w:val="19"/>
          <w:szCs w:val="19"/>
        </w:rPr>
        <w:t xml:space="preserve">2.3 Semáforo de cada almacén</w:t>
      </w:r>
    </w:p>
    <w:p>
      <w:pPr>
        <w:spacing w:after="100" w:before="0" w:line="276"/>
      </w:pPr>
      <w:r>
        <w:rPr>
          <w:rFonts w:ascii="Arial" w:cs="Arial" w:eastAsia="Arial" w:hAnsi="Arial"/>
          <w:color w:val="000000"/>
          <w:sz w:val="19"/>
          <w:szCs w:val="19"/>
        </w:rPr>
        <w:t xml:space="preserve">La pestaña «Semáforo» muestra, para cada almacén, cuántos códigos hay en rojo, amarillo y verde, y cómo funciona la tarjeta kanban en su formato. Cada código se mira en bultos, que es lo que se ve en la estantería: bultos = unidades ÷ contenido del bulto (Stock_MP, columna 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7"/>
        <w:gridCol w:w="3764"/>
        <w:gridCol w:w="4755"/>
      </w:tblGrid>
      <w:tr>
        <w:trPr>
          <w:cantSplit/>
          <w:tblHeader/>
        </w:trPr>
        <w:tc>
          <w:tcPr>
            <w:tcW w:type="dxa" w:w="138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Luz</w:t>
            </w:r>
          </w:p>
        </w:tc>
        <w:tc>
          <w:tcPr>
            <w:tcW w:type="dxa" w:w="376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Cuándo</w:t>
            </w:r>
          </w:p>
        </w:tc>
        <w:tc>
          <w:tcPr>
            <w:tcW w:type="dxa" w:w="475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se hace</w:t>
            </w:r>
          </w:p>
        </w:tc>
      </w:tr>
      <w:tr>
        <w:trPr>
          <w:cantSplit/>
        </w:trPr>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Rojo</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 ≤ seguridad (L)</w:t>
            </w:r>
          </w:p>
        </w:tc>
        <w:tc>
          <w:tcPr>
            <w:tcW w:type="dxa" w:w="475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Pedido urgente; se avisa a la línea y a compras.</w:t>
            </w:r>
          </w:p>
        </w:tc>
      </w:tr>
      <w:tr>
        <w:trPr>
          <w:cantSplit/>
        </w:trPr>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Amarillo</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 ≤ punto de pedido (L + K), o pedido en camino</w:t>
            </w:r>
          </w:p>
        </w:tc>
        <w:tc>
          <w:tcPr>
            <w:tcW w:type="dxa" w:w="475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tarjeta del bulto pasa al tablero de pedidos y sale el pedido hasta el máximo.</w:t>
            </w:r>
          </w:p>
        </w:tc>
      </w:tr>
      <w:tr>
        <w:trPr>
          <w:cantSplit/>
        </w:trPr>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Verde</w:t>
            </w:r>
          </w:p>
        </w:tc>
        <w:tc>
          <w:tcPr>
            <w:tcW w:type="dxa" w:w="37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 sobre el punto de pedido</w:t>
            </w:r>
          </w:p>
        </w:tc>
        <w:tc>
          <w:tcPr>
            <w:tcW w:type="dxa" w:w="475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Nada hasta la próxima revisión del proveedor.</w:t>
            </w:r>
          </w:p>
        </w:tc>
      </w:tr>
    </w:tbl>
    <w:p>
      <w:pPr>
        <w:spacing w:after="120"/>
      </w:pPr>
    </w:p>
    <w:p>
      <w:pPr>
        <w:pStyle w:val="ListParagraph"/>
        <w:numPr>
          <w:ilvl w:val="0"/>
          <w:numId w:val="2"/>
        </w:numPr>
        <w:spacing w:after="40" w:before="0" w:line="276"/>
      </w:pPr>
      <w:r>
        <w:rPr>
          <w:rFonts w:ascii="Arial" w:cs="Arial" w:eastAsia="Arial" w:hAnsi="Arial"/>
          <w:b/>
          <w:bCs/>
          <w:color w:val="000000"/>
          <w:sz w:val="19"/>
          <w:szCs w:val="19"/>
        </w:rPr>
        <w:t xml:space="preserve">Días de stock.</w:t>
      </w:r>
      <w:r>
        <w:rPr>
          <w:rFonts w:ascii="Arial" w:cs="Arial" w:eastAsia="Arial" w:hAnsi="Arial"/>
          <w:color w:val="000000"/>
          <w:sz w:val="19"/>
          <w:szCs w:val="19"/>
        </w:rPr>
        <w:t xml:space="preserve"> Cada código muestra cuántos días de producción alcanza lo que hay: stock ÷ consumo por día (Stock_MP, columna G = consumo del año ÷ 240 días hábiles). La seguridad, el punto de pedido y el máximo también se muestran en días, y cada almacén muestra su código con menos días. El punto de pedido en días es la seguridad en días más el plazo de entrega: cuando quedan esos días, sale el pedido.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90"/>
        <w:gridCol w:w="3269"/>
        <w:gridCol w:w="1585"/>
        <w:gridCol w:w="1288"/>
        <w:gridCol w:w="1387"/>
        <w:gridCol w:w="1287"/>
      </w:tblGrid>
      <w:tr>
        <w:trPr>
          <w:cantSplit/>
          <w:tblHeader/>
        </w:trPr>
        <w:tc>
          <w:tcPr>
            <w:tcW w:type="dxa" w:w="109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Código</w:t>
            </w:r>
          </w:p>
        </w:tc>
        <w:tc>
          <w:tcPr>
            <w:tcW w:type="dxa" w:w="326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Material</w:t>
            </w:r>
          </w:p>
        </w:tc>
        <w:tc>
          <w:tcPr>
            <w:tcW w:type="dxa" w:w="158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Consumo por día</w:t>
            </w:r>
          </w:p>
        </w:tc>
        <w:tc>
          <w:tcPr>
            <w:tcW w:type="dxa" w:w="128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Seguridad (d)</w:t>
            </w:r>
          </w:p>
        </w:tc>
        <w:tc>
          <w:tcPr>
            <w:tcW w:type="dxa" w:w="138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Punto de pedido (d)</w:t>
            </w:r>
          </w:p>
        </w:tc>
        <w:tc>
          <w:tcPr>
            <w:tcW w:type="dxa" w:w="128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Máximo (d)</w:t>
            </w:r>
          </w:p>
        </w:tc>
      </w:tr>
      <w:tr>
        <w:trPr>
          <w:cantSplit/>
        </w:trPr>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MP-01</w:t>
            </w:r>
          </w:p>
        </w:tc>
        <w:tc>
          <w:tcPr>
            <w:tcW w:type="dxa" w:w="32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LAF 0,9 × 1220 × 2440 mm (cuerpo 1 kg)</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18,76 hoja</w:t>
            </w:r>
          </w:p>
        </w:tc>
        <w:tc>
          <w:tcPr>
            <w:tcW w:type="dxa" w:w="12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w:t>
            </w:r>
          </w:p>
        </w:tc>
        <w:tc>
          <w:tcPr>
            <w:tcW w:type="dxa" w:w="12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23,5</w:t>
            </w:r>
          </w:p>
        </w:tc>
      </w:tr>
      <w:tr>
        <w:trPr>
          <w:cantSplit/>
        </w:trPr>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MP-03</w:t>
            </w:r>
          </w:p>
        </w:tc>
        <w:tc>
          <w:tcPr>
            <w:tcW w:type="dxa" w:w="32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LAF 1,6 × 1000 × 2000 mm</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22,17 hoja</w:t>
            </w:r>
          </w:p>
        </w:tc>
        <w:tc>
          <w:tcPr>
            <w:tcW w:type="dxa" w:w="12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11,7</w:t>
            </w:r>
          </w:p>
        </w:tc>
        <w:tc>
          <w:tcPr>
            <w:tcW w:type="dxa" w:w="12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24,9</w:t>
            </w:r>
          </w:p>
        </w:tc>
      </w:tr>
      <w:tr>
        <w:trPr>
          <w:cantSplit/>
        </w:trPr>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MP-05</w:t>
            </w:r>
          </w:p>
        </w:tc>
        <w:tc>
          <w:tcPr>
            <w:tcW w:type="dxa" w:w="32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0,9 × 93,05 mm (cúpula 1 kg)</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50,40 kg</w:t>
            </w:r>
          </w:p>
        </w:tc>
        <w:tc>
          <w:tcPr>
            <w:tcW w:type="dxa" w:w="12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12,8</w:t>
            </w:r>
          </w:p>
        </w:tc>
        <w:tc>
          <w:tcPr>
            <w:tcW w:type="dxa" w:w="12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25,9</w:t>
            </w:r>
          </w:p>
        </w:tc>
      </w:tr>
      <w:tr>
        <w:trPr>
          <w:cantSplit/>
        </w:trPr>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MP-25</w:t>
            </w:r>
          </w:p>
        </w:tc>
        <w:tc>
          <w:tcPr>
            <w:tcW w:type="dxa" w:w="32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Gas MAG Ar + 8 % CO₂ (Arcal 21)</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33,17 m³</w:t>
            </w:r>
          </w:p>
        </w:tc>
        <w:tc>
          <w:tcPr>
            <w:tcW w:type="dxa" w:w="12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2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7,0</w:t>
            </w:r>
          </w:p>
        </w:tc>
      </w:tr>
      <w:tr>
        <w:trPr>
          <w:cantSplit/>
        </w:trPr>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MP-33</w:t>
            </w:r>
          </w:p>
        </w:tc>
        <w:tc>
          <w:tcPr>
            <w:tcW w:type="dxa" w:w="32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Polvo ABC 60 (manuales y sus recargas)</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1.134,91 kg</w:t>
            </w:r>
          </w:p>
        </w:tc>
        <w:tc>
          <w:tcPr>
            <w:tcW w:type="dxa" w:w="12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w:t>
            </w:r>
          </w:p>
        </w:tc>
        <w:tc>
          <w:tcPr>
            <w:tcW w:type="dxa" w:w="12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w:t>
            </w:r>
          </w:p>
        </w:tc>
      </w:tr>
      <w:tr>
        <w:trPr>
          <w:cantSplit/>
        </w:trPr>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MP-62/M22</w:t>
            </w:r>
          </w:p>
        </w:tc>
        <w:tc>
          <w:tcPr>
            <w:tcW w:type="dxa" w:w="326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Tapón protector de rosca M22</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710,62 u</w:t>
            </w:r>
          </w:p>
        </w:tc>
        <w:tc>
          <w:tcPr>
            <w:tcW w:type="dxa" w:w="12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w:t>
            </w:r>
          </w:p>
        </w:tc>
        <w:tc>
          <w:tcPr>
            <w:tcW w:type="dxa" w:w="12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32,4</w:t>
            </w:r>
          </w:p>
        </w:tc>
      </w:tr>
    </w:tbl>
    <w:p>
      <w:pPr>
        <w:spacing w:after="120"/>
      </w:pPr>
    </w:p>
    <w:p>
      <w:pPr>
        <w:spacing w:after="120" w:before="0" w:line="276"/>
      </w:pPr>
      <w:r>
        <w:rPr>
          <w:rFonts w:ascii="Arial" w:cs="Arial" w:eastAsia="Arial" w:hAnsi="Arial"/>
          <w:color w:val="595959"/>
          <w:sz w:val="16"/>
          <w:szCs w:val="16"/>
        </w:rPr>
        <w:t xml:space="preserve">Días hábiles. Valores de MP-FLAMA2035 › Stock_MP (G, L, L + K, S); el resto de las MP en el anexo.</w:t>
      </w:r>
    </w:p>
    <w:p>
      <w:pPr>
        <w:pStyle w:val="ListParagraph"/>
        <w:numPr>
          <w:ilvl w:val="0"/>
          <w:numId w:val="2"/>
        </w:numPr>
        <w:spacing w:after="40" w:before="0" w:line="276"/>
      </w:pPr>
      <w:r>
        <w:rPr>
          <w:rFonts w:ascii="Arial" w:cs="Arial" w:eastAsia="Arial" w:hAnsi="Arial"/>
          <w:b/>
          <w:bCs/>
          <w:color w:val="000000"/>
          <w:sz w:val="19"/>
          <w:szCs w:val="19"/>
        </w:rPr>
        <w:t xml:space="preserve">En bultos enteros.</w:t>
      </w:r>
      <w:r>
        <w:rPr>
          <w:rFonts w:ascii="Arial" w:cs="Arial" w:eastAsia="Arial" w:hAnsi="Arial"/>
          <w:color w:val="000000"/>
          <w:sz w:val="19"/>
          <w:szCs w:val="19"/>
        </w:rPr>
        <w:t xml:space="preserve"> «Pedir cuando quedan N bultos» redondea el punto de pedido hacia arriba al bulto entero (criterio: se pide un poco antes, nunca después). Si el punto de pedido es menos de un bulto, la regla es «pedir al abrir el último bulto».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6"/>
        <w:gridCol w:w="2179"/>
        <w:gridCol w:w="5151"/>
      </w:tblGrid>
      <w:tr>
        <w:trPr>
          <w:cantSplit/>
          <w:tblHeader/>
        </w:trPr>
        <w:tc>
          <w:tcPr>
            <w:tcW w:type="dxa" w:w="257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Almacén</w:t>
            </w:r>
          </w:p>
        </w:tc>
        <w:tc>
          <w:tcPr>
            <w:tcW w:type="dxa" w:w="217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Formato</w:t>
            </w:r>
          </w:p>
        </w:tc>
        <w:tc>
          <w:tcPr>
            <w:tcW w:type="dxa" w:w="515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Tarjeta kanban (criterio)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Chapa (pilas en el piso)</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Apilado en bloque</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Marca en el poste de cada pila a la altura del punto de pedido; cuando la pila baja a la marca, la tarjeta va al tablero.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Flejes (rack + volteador)</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2.000 kg/nivel</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pallet de rollos que deja el stock en el punto de pedido lleva la tarjeta; cuando la pinza lo baja, va al tablero.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Cantilever de caños y barras</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Cantilever (fabricación propia)</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Brazo del punto de pedido pintado de amarillo: cuando queda a la vista, se pide.</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Depósito de polvo químico</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Apilado en bloque</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big bag (o la bolsa) del punto de pedido lleva la tarjeta colgada; cuando se empieza, va al tablero.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Embalaje</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500 kg/nivel</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Abajo el bulto en uso, arriba la reposición; el bulto del punto de pedido lleva la tarjeta y va al tablero al bajarlo o abrirlo.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Identificación</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Estantería liviana</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Doble cajón: el segundo cajón tiene la tarjeta; cuando se empieza, se pide.</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 de montaje (manuales)</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1.000 kg/nivel</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Abajo el bulto en uso, arriba la reposición; el bulto del punto de pedido lleva la tarjeta y va al tablero al bajarlo o abrirlo.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 de recargas</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1.000 kg/nivel</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Abajo el bulto en uso, arriba la reposición; el bulto del punto de pedido lleva la tarjeta y va al tablero al bajarlo o abrirlo.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 de soldadura y superficie</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1.000 kg/nivel</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Abajo el bulto en uso, arriba la reposición; el bulto del punto de pedido lleva la tarjeta y va al tablero al bajarlo o abrirlo.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Jaula de gases</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Jaula exterior ventilada</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Cilindros llenos con capuchón; cuando quedan los del punto de pedido, se pide; el vacío vuelve con la tarjeta.</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de casquetes y cuplas (carros)</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2.000 kg/nivel</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Abajo el bulto en uso, arriba la reposición; el bulto del punto de pedido lleva la tarjeta y va al tablero al bajarlo o abrirlo.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de insumos de montaje (carros)</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selectivo 500 kg/nivel</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Abajo el bulto en uso, arriba la reposición; el bulto del punto de pedido lleva la tarjeta y va al tablero al bajarlo o abrirlo.</w:t>
            </w:r>
          </w:p>
        </w:tc>
      </w:tr>
      <w:tr>
        <w:trPr>
          <w:cantSplit/>
        </w:trPr>
        <w:tc>
          <w:tcPr>
            <w:tcW w:type="dxa" w:w="25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Almacén de producto terminado</w:t>
            </w:r>
          </w:p>
        </w:tc>
        <w:tc>
          <w:tcPr>
            <w:tcW w:type="dxa" w:w="21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(va en el almacén de PT)</w:t>
            </w:r>
          </w:p>
        </w:tc>
        <w:tc>
          <w:tcPr>
            <w:tcW w:type="dxa" w:w="51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lugar del punto de pedido en la zona de reventa lleva la tarjeta.</w:t>
            </w:r>
          </w:p>
        </w:tc>
      </w:tr>
    </w:tbl>
    <w:p>
      <w:pPr>
        <w:spacing w:after="120"/>
      </w:pPr>
    </w:p>
    <w:p>
      <w:pPr>
        <w:spacing w:after="120" w:before="0" w:line="276"/>
      </w:pPr>
      <w:r>
        <w:rPr>
          <w:rFonts w:ascii="Arial" w:cs="Arial" w:eastAsia="Arial" w:hAnsi="Arial"/>
          <w:color w:val="595959"/>
          <w:sz w:val="16"/>
          <w:szCs w:val="16"/>
        </w:rPr>
        <w:t xml:space="preserve">Disposición de cada almacén: MP-FLAMA2035 › Almacenes, columna I, y Word de MP, sección 8 (abajo lo que se usa, arriba la reposición). La tarjeta física es criterio de este sistema; la app muestra el mismo semáforo con los conteos.</w:t>
      </w:r>
    </w:p>
    <w:p>
      <w:pPr>
        <w:keepNext/>
        <w:spacing w:after="60"/>
        <w:jc w:val="center"/>
      </w:pPr>
      <w:r>
        <w:drawing>
          <wp:inline distT="0" distB="0" distL="0" distR="0">
            <wp:extent cx="5400675" cy="4686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46863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7. Semáforo de los almacenes: luces por almacén, la regla de la tarjeta de su formato y cada código con su barra en bultos (rojo hasta la seguridad, amarillo hasta el punto de pedido, verde hasta el máximo).</w:t>
      </w:r>
    </w:p>
    <w:p>
      <w:pPr>
        <w:pStyle w:val="Heading1"/>
        <w:keepNext/>
        <w:spacing w:after="120" w:before="240" w:line="276"/>
      </w:pPr>
      <w:r>
        <w:rPr>
          <w:rFonts w:ascii="Arial" w:cs="Arial" w:eastAsia="Arial" w:hAnsi="Arial"/>
          <w:color w:val="000000"/>
          <w:sz w:val="19"/>
          <w:szCs w:val="19"/>
        </w:rPr>
        <w:t xml:space="preserve">3. Kanban de producto terminado</w:t>
      </w:r>
    </w:p>
    <w:p>
      <w:pPr>
        <w:spacing w:after="100" w:before="0" w:line="276"/>
      </w:pPr>
      <w:r>
        <w:rPr>
          <w:rFonts w:ascii="Arial" w:cs="Arial" w:eastAsia="Arial" w:hAnsi="Arial"/>
          <w:color w:val="000000"/>
          <w:sz w:val="19"/>
          <w:szCs w:val="19"/>
        </w:rPr>
        <w:t xml:space="preserve">El almacén de PT por zonas, con cada pallet en su lugar. El color del pallet es el mes de fabricación (4 colores que rotan, criterio) y el borde marca el más viejo de cada producto, que sale primero. Cada pallet entra con la ficha FAB-11 (o REV-01 los revendidos) y sale con su remito y el vehículo del día.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892"/>
        <w:gridCol w:w="4557"/>
        <w:gridCol w:w="2476"/>
      </w:tblGrid>
      <w:tr>
        <w:trPr>
          <w:cantSplit/>
          <w:tblHeader/>
        </w:trPr>
        <w:tc>
          <w:tcPr>
            <w:tcW w:type="dxa" w:w="198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Zona</w:t>
            </w:r>
          </w:p>
        </w:tc>
        <w:tc>
          <w:tcPr>
            <w:tcW w:type="dxa" w:w="8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Lugares</w:t>
            </w:r>
          </w:p>
        </w:tc>
        <w:tc>
          <w:tcPr>
            <w:tcW w:type="dxa" w:w="455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guarda</w:t>
            </w:r>
          </w:p>
        </w:tc>
        <w:tc>
          <w:tcPr>
            <w:tcW w:type="dxa" w:w="247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Fuente</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Rack de PT</w:t>
            </w:r>
          </w:p>
        </w:tc>
        <w:tc>
          <w:tcPr>
            <w:tcW w:type="dxa" w:w="8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w:t>
            </w:r>
          </w:p>
        </w:tc>
        <w:tc>
          <w:tcPr>
            <w:tcW w:type="dxa" w:w="4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Nuevos en caja y cilindros; 15 módulos × 3 niveles × 2; los 10 kg en caja en el nivel 1</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PTPINTADO › Almacen_PT B15:B16</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Carros terminados en el piso</w:t>
            </w:r>
          </w:p>
        </w:tc>
        <w:tc>
          <w:tcPr>
            <w:tcW w:type="dxa" w:w="8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w:t>
            </w:r>
          </w:p>
        </w:tc>
        <w:tc>
          <w:tcPr>
            <w:tcW w:type="dxa" w:w="4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 11 · 50 kg: 23 · 70 kg: 5 · 100 kg: 4</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Almacen_PT B22:B25</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Andén</w:t>
            </w:r>
          </w:p>
        </w:tc>
        <w:tc>
          <w:tcPr>
            <w:tcW w:type="dxa" w:w="8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4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 que sale en el día: un sider y un camión chico</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Almacen_PT B30</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Reventa</w:t>
            </w:r>
          </w:p>
        </w:tc>
        <w:tc>
          <w:tcPr>
            <w:tcW w:type="dxa" w:w="8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w:t>
            </w:r>
          </w:p>
        </w:tc>
        <w:tc>
          <w:tcPr>
            <w:tcW w:type="dxa" w:w="4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Matafuegos revendidos, por modelo</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Balanceo › Pulmones, sección 6</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Sustitutos</w:t>
            </w:r>
          </w:p>
        </w:tc>
        <w:tc>
          <w:tcPr>
            <w:tcW w:type="dxa" w:w="8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w:t>
            </w:r>
          </w:p>
        </w:tc>
        <w:tc>
          <w:tcPr>
            <w:tcW w:type="dxa" w:w="4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8 propios + 14 comprados</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Balanceo › Pulmones, sección 6</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Rama de pintura (carros)</w:t>
            </w:r>
          </w:p>
        </w:tc>
        <w:tc>
          <w:tcPr>
            <w:tcW w:type="dxa" w:w="8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58</w:t>
            </w:r>
          </w:p>
        </w:tc>
        <w:tc>
          <w:tcPr>
            <w:tcW w:type="dxa" w:w="4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Espera del pintor 29 + pintados 29</w:t>
            </w:r>
          </w:p>
        </w:tc>
        <w:tc>
          <w:tcPr>
            <w:tcW w:type="dxa" w:w="247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PTPINTADO › Pintura B33:B34</w:t>
            </w:r>
          </w:p>
        </w:tc>
      </w:tr>
    </w:tbl>
    <w:p>
      <w:pPr>
        <w:spacing w:after="120"/>
      </w:pPr>
    </w:p>
    <w:p>
      <w:pPr>
        <w:keepNext/>
        <w:spacing w:after="60"/>
        <w:jc w:val="center"/>
      </w:pPr>
      <w:r>
        <w:drawing>
          <wp:inline distT="0" distB="0" distL="0" distR="0">
            <wp:extent cx="5400675" cy="5915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59150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8. Kanban de PT con pallets de la prueba: rack, piso, andén, reventa, sustitutos, pintura, días fijos de despacho y stock contra máximo.</w:t>
      </w:r>
    </w:p>
    <w:p>
      <w:pPr>
        <w:pStyle w:val="Heading2"/>
        <w:keepNext/>
        <w:spacing w:after="80" w:before="180" w:line="276"/>
      </w:pPr>
      <w:r>
        <w:rPr>
          <w:rFonts w:ascii="Arial" w:cs="Arial" w:eastAsia="Arial" w:hAnsi="Arial"/>
          <w:color w:val="000000"/>
          <w:sz w:val="19"/>
          <w:szCs w:val="19"/>
        </w:rPr>
        <w:t xml:space="preserve">3.1 Despacho por días fijos y stock máximo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8"/>
        <w:gridCol w:w="3467"/>
        <w:gridCol w:w="1981"/>
      </w:tblGrid>
      <w:tr>
        <w:trPr>
          <w:cantSplit/>
          <w:tblHeader/>
        </w:trPr>
        <w:tc>
          <w:tcPr>
            <w:tcW w:type="dxa" w:w="445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Vehículo · qué lleva</w:t>
            </w:r>
          </w:p>
        </w:tc>
        <w:tc>
          <w:tcPr>
            <w:tcW w:type="dxa" w:w="346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Días</w:t>
            </w:r>
          </w:p>
        </w:tc>
        <w:tc>
          <w:tcPr>
            <w:tcW w:type="dxa" w:w="198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Salidas por semana</w:t>
            </w:r>
          </w:p>
        </w:tc>
      </w:tr>
      <w:tr>
        <w:trPr>
          <w:cantSplit/>
        </w:trPr>
        <w:tc>
          <w:tcPr>
            <w:tcW w:type="dxa" w:w="44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Camión chico · nuevos en caja</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Lunes, miércoles y viernes</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w:t>
            </w:r>
          </w:p>
        </w:tc>
      </w:tr>
      <w:tr>
        <w:trPr>
          <w:cantSplit/>
        </w:trPr>
        <w:tc>
          <w:tcPr>
            <w:tcW w:type="dxa" w:w="44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Sider · cilindros de manuales y de carro</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Martes y jueves</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r>
      <w:tr>
        <w:trPr>
          <w:cantSplit/>
        </w:trPr>
        <w:tc>
          <w:tcPr>
            <w:tcW w:type="dxa" w:w="44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Master · carros terminados a clientes</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Lunes a viernes</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w:t>
            </w:r>
          </w:p>
        </w:tc>
      </w:tr>
      <w:tr>
        <w:trPr>
          <w:cantSplit/>
        </w:trPr>
        <w:tc>
          <w:tcPr>
            <w:tcW w:type="dxa" w:w="445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Master · pintor (crudos de ida, pintados de vuelta)</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2 días hábiles, 3 viajes</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1486"/>
        <w:gridCol w:w="1189"/>
        <w:gridCol w:w="1486"/>
        <w:gridCol w:w="1189"/>
        <w:gridCol w:w="1188"/>
      </w:tblGrid>
      <w:tr>
        <w:trPr>
          <w:cantSplit/>
          <w:tblHeader/>
        </w:trPr>
        <w:tc>
          <w:tcPr>
            <w:tcW w:type="dxa" w:w="336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Producto</w:t>
            </w:r>
          </w:p>
        </w:tc>
        <w:tc>
          <w:tcPr>
            <w:tcW w:type="dxa" w:w="148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Ventas del año</w:t>
            </w:r>
          </w:p>
        </w:tc>
        <w:tc>
          <w:tcPr>
            <w:tcW w:type="dxa" w:w="118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Seguridad</w:t>
            </w:r>
          </w:p>
        </w:tc>
        <w:tc>
          <w:tcPr>
            <w:tcW w:type="dxa" w:w="148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Stock máximo</w:t>
            </w:r>
          </w:p>
        </w:tc>
        <w:tc>
          <w:tcPr>
            <w:tcW w:type="dxa" w:w="118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Por pallet</w:t>
            </w:r>
          </w:p>
        </w:tc>
        <w:tc>
          <w:tcPr>
            <w:tcW w:type="dxa" w:w="118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Pallets</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Nuevo 1 kg (en caja)</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32.073</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669</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2.953</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360</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Nuevo 2,5 kg (en caja)</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7.436</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155</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546</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168</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Nuevo 5 kg (en caja)</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30.815</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642</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1.650</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Nuevo 10 kg (en caja)</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1.845</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154</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1 kg (manuales)</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170.548</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3554</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14.567</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780</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2,5 kg (manuales)</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6.690</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140</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629</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288</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5 kg (manuales)</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33.038</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689</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1.806</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126</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10 kg (manuales)</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2.018</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164</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Carro 25 kg terminado</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454</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Carro 50 kg terminado</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998</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Carro 70 kg terminado</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218</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Carro 100 kg terminado</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145</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de carro 25 kg</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324</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de carro 50 kg</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710</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de carro 70 kg</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156</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r>
      <w:tr>
        <w:trPr>
          <w:cantSplit/>
        </w:trPr>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de carro 100 kg</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w:t>
            </w:r>
          </w:p>
        </w:tc>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w:t>
            </w:r>
          </w:p>
        </w:tc>
        <w:tc>
          <w:tcPr>
            <w:tcW w:type="dxa" w:w="11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w:t>
            </w:r>
          </w:p>
        </w:tc>
        <w:tc>
          <w:tcPr>
            <w:tcW w:type="dxa" w:w="11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w:t>
            </w:r>
          </w:p>
        </w:tc>
      </w:tr>
    </w:tbl>
    <w:p>
      <w:pPr>
        <w:spacing w:after="120"/>
      </w:pPr>
    </w:p>
    <w:p>
      <w:pPr>
        <w:spacing w:after="120" w:before="0" w:line="276"/>
      </w:pPr>
      <w:r>
        <w:rPr>
          <w:rFonts w:ascii="Arial" w:cs="Arial" w:eastAsia="Arial" w:hAnsi="Arial"/>
          <w:color w:val="595959"/>
          <w:sz w:val="16"/>
          <w:szCs w:val="16"/>
        </w:rPr>
        <w:t xml:space="preserve">Stock máximo = stock por sobrestock + seguridad (5 días de venta) + pallet en armado (PTPINTADO › Stock_PT, filas 63 a 78).</w:t>
      </w:r>
    </w:p>
    <w:p>
      <w:pPr>
        <w:pStyle w:val="Heading2"/>
        <w:keepNext/>
        <w:spacing w:after="80" w:before="180" w:line="276"/>
      </w:pPr>
      <w:r>
        <w:rPr>
          <w:rFonts w:ascii="Arial" w:cs="Arial" w:eastAsia="Arial" w:hAnsi="Arial"/>
          <w:color w:val="000000"/>
          <w:sz w:val="19"/>
          <w:szCs w:val="19"/>
        </w:rPr>
        <w:t xml:space="preserve">3.2 Salida y despacho con el n° de serie</w:t>
      </w:r>
    </w:p>
    <w:p>
      <w:pPr>
        <w:spacing w:after="100" w:before="0" w:line="276"/>
      </w:pPr>
      <w:r>
        <w:rPr>
          <w:rFonts w:ascii="Arial" w:cs="Arial" w:eastAsia="Arial" w:hAnsi="Arial"/>
          <w:color w:val="000000"/>
          <w:sz w:val="19"/>
          <w:szCs w:val="19"/>
        </w:rPr>
        <w:t xml:space="preserve">La pestaña «Despacho» muestra el número de punta a punta y registra la salida. El número nace en el cuerpo y se repite en cada etiqueta hasta el remito: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6"/>
        <w:gridCol w:w="3467"/>
        <w:gridCol w:w="3368"/>
        <w:gridCol w:w="1585"/>
      </w:tblGrid>
      <w:tr>
        <w:trPr>
          <w:cantSplit/>
          <w:tblHeader/>
        </w:trPr>
        <w:tc>
          <w:tcPr>
            <w:tcW w:type="dxa" w:w="148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Paso</w:t>
            </w:r>
          </w:p>
        </w:tc>
        <w:tc>
          <w:tcPr>
            <w:tcW w:type="dxa" w:w="346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Dónde está el número</w:t>
            </w:r>
          </w:p>
        </w:tc>
        <w:tc>
          <w:tcPr>
            <w:tcW w:type="dxa" w:w="336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se controla</w:t>
            </w:r>
          </w:p>
        </w:tc>
        <w:tc>
          <w:tcPr>
            <w:tcW w:type="dxa" w:w="158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Registro</w:t>
            </w:r>
          </w:p>
        </w:tc>
      </w:tr>
      <w:tr>
        <w:trPr>
          <w:cantSplit/>
        </w:trPr>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Marcado</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Grabado en el cuerpo con la Pannier: «FLAMA S.A. N° serie año», arriba a la izquierda de la costura</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Rango de series del lote, colada de la chapa</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FAB-02</w:t>
            </w:r>
          </w:p>
        </w:tc>
      </w:tr>
      <w:tr>
        <w:trPr>
          <w:cantSplit/>
        </w:trPr>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Etiqueta de serie</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n° de serie en el costado (planos FL_MAT, hoja 4), con el mismo número impreso; el QR es para el cliente</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Que la etiqueta tenga el mismo número que el marcado (primera y última del lote)</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FAB-11</w:t>
            </w:r>
          </w:p>
        </w:tc>
      </w:tr>
      <w:tr>
        <w:trPr>
          <w:cantSplit/>
        </w:trPr>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Etiqueta del pallet</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PAL-nnnn: producto, cantidad, lote, series desde–hasta, fecha de fabricación, lugar</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Liberación del lote, pesada, estampillas IRAM (una por unidad, Anexo R)</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FAB-11</w:t>
            </w:r>
          </w:p>
        </w:tc>
      </w:tr>
      <w:tr>
        <w:trPr>
          <w:cantSplit/>
        </w:trPr>
        <w:tc>
          <w:tcPr>
            <w:tcW w:type="dxa" w:w="148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Remito</w:t>
            </w:r>
          </w:p>
        </w:tc>
        <w:tc>
          <w:tcPr>
            <w:tcW w:type="dxa" w:w="34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 con el vehículo y las series que salen</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Sale primero el pallet más viejo; si sale parte, el resto queda con sus series</w:t>
            </w:r>
          </w:p>
        </w:tc>
        <w:tc>
          <w:tcPr>
            <w:tcW w:type="dxa" w:w="158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Despacho (DES)</w:t>
            </w:r>
          </w:p>
        </w:tc>
      </w:tr>
    </w:tbl>
    <w:p>
      <w:pPr>
        <w:spacing w:after="120"/>
      </w:pPr>
    </w:p>
    <w:p>
      <w:pPr>
        <w:pStyle w:val="ListParagraph"/>
        <w:numPr>
          <w:ilvl w:val="0"/>
          <w:numId w:val="2"/>
        </w:numPr>
        <w:spacing w:after="40" w:before="0" w:line="276"/>
      </w:pPr>
      <w:r>
        <w:rPr>
          <w:rFonts w:ascii="Arial" w:cs="Arial" w:eastAsia="Arial" w:hAnsi="Arial"/>
          <w:b/>
          <w:bCs/>
          <w:color w:val="000000"/>
          <w:sz w:val="19"/>
          <w:szCs w:val="19"/>
        </w:rPr>
        <w:t xml:space="preserve">Despacho parcial.</w:t>
      </w:r>
      <w:r>
        <w:rPr>
          <w:rFonts w:ascii="Arial" w:cs="Arial" w:eastAsia="Arial" w:hAnsi="Arial"/>
          <w:color w:val="000000"/>
          <w:sz w:val="19"/>
          <w:szCs w:val="19"/>
        </w:rPr>
        <w:t xml:space="preserve"> Si las series del pallet son un rango, salen las primeras N y el pallet queda con el resto del rango (por ejemplo, salen 15184–15193 y quedan 15194–15471). El vehículo se propone según el producto (Despacho, filas 25 a 28: camión chico los nuevos en caja, sider los cilindros, Master los carros).</w:t>
      </w:r>
    </w:p>
    <w:p>
      <w:pPr>
        <w:pStyle w:val="ListParagraph"/>
        <w:numPr>
          <w:ilvl w:val="0"/>
          <w:numId w:val="2"/>
        </w:numPr>
        <w:spacing w:after="40" w:before="0" w:line="276"/>
      </w:pPr>
      <w:r>
        <w:rPr>
          <w:rFonts w:ascii="Arial" w:cs="Arial" w:eastAsia="Arial" w:hAnsi="Arial"/>
          <w:b/>
          <w:bCs/>
          <w:color w:val="000000"/>
          <w:sz w:val="19"/>
          <w:szCs w:val="19"/>
        </w:rPr>
        <w:t xml:space="preserve">Reclamo.</w:t>
      </w:r>
      <w:r>
        <w:rPr>
          <w:rFonts w:ascii="Arial" w:cs="Arial" w:eastAsia="Arial" w:hAnsi="Arial"/>
          <w:color w:val="000000"/>
          <w:sz w:val="19"/>
          <w:szCs w:val="19"/>
        </w:rPr>
        <w:t xml:space="preserve"> Con el número del cuerpo o de la etiqueta, la búsqueda trae el remito, el lote, cada ficha y la colada.</w:t>
      </w:r>
    </w:p>
    <w:p>
      <w:pPr>
        <w:pStyle w:val="ListParagraph"/>
        <w:numPr>
          <w:ilvl w:val="0"/>
          <w:numId w:val="2"/>
        </w:numPr>
        <w:spacing w:after="40" w:before="0" w:line="276"/>
      </w:pPr>
      <w:r>
        <w:rPr>
          <w:rFonts w:ascii="Arial" w:cs="Arial" w:eastAsia="Arial" w:hAnsi="Arial"/>
          <w:b/>
          <w:bCs/>
          <w:color w:val="000000"/>
          <w:sz w:val="19"/>
          <w:szCs w:val="19"/>
        </w:rPr>
        <w:t xml:space="preserve">Semáforo del PT (criterio).</w:t>
      </w:r>
      <w:r>
        <w:rPr>
          <w:rFonts w:ascii="Arial" w:cs="Arial" w:eastAsia="Arial" w:hAnsi="Arial"/>
          <w:color w:val="000000"/>
          <w:sz w:val="19"/>
          <w:szCs w:val="19"/>
        </w:rPr>
        <w:t xml:space="preserve"> Rojo: stock bajo la seguridad (Stock_PT, col. H = 5 días de venta), hay que producir; amarillo: a menos de un pallet de la seguridad, programar el próximo lote; verde: hay stock. Cada producto muestra sus días de stock = unidades ÷ venta por día (Stock_PT, col. F), también en el kanban de PT y en el dashboard.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3368"/>
        <w:gridCol w:w="4161"/>
      </w:tblGrid>
      <w:tr>
        <w:trPr>
          <w:cantSplit/>
          <w:tblHeader/>
        </w:trPr>
        <w:tc>
          <w:tcPr>
            <w:tcW w:type="dxa" w:w="237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sale</w:t>
            </w:r>
          </w:p>
        </w:tc>
        <w:tc>
          <w:tcPr>
            <w:tcW w:type="dxa" w:w="336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Número que se sigue</w:t>
            </w:r>
          </w:p>
        </w:tc>
        <w:tc>
          <w:tcPr>
            <w:tcW w:type="dxa" w:w="416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Etiquetas que lleva</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o cilindro propio</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 de serie + año (marcado y etiqueta de serie)</w:t>
            </w:r>
          </w:p>
        </w:tc>
        <w:tc>
          <w:tcPr>
            <w:tcW w:type="dxa" w:w="416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del producto, etiqueta de serie, estampilla IRAM, oblea, faja y precinto</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Carro terminado</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 de serie + año + presión de ensayo</w:t>
            </w:r>
          </w:p>
        </w:tc>
        <w:tc>
          <w:tcPr>
            <w:tcW w:type="dxa" w:w="416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 en el carro</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 de recarga</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Orden de servicio + n° grabado por su fabricante</w:t>
            </w:r>
          </w:p>
        </w:tc>
        <w:tc>
          <w:tcPr>
            <w:tcW w:type="dxa" w:w="416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Marbete del año, oblea, etiqueta de servicio y precinto (IRAM 3517-2 9.4.13, 9.6, 9.4.14)</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Revendido</w:t>
            </w:r>
          </w:p>
        </w:tc>
        <w:tc>
          <w:tcPr>
            <w:tcW w:type="dxa" w:w="336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 de serie del fabricante</w:t>
            </w:r>
          </w:p>
        </w:tc>
        <w:tc>
          <w:tcPr>
            <w:tcW w:type="dxa" w:w="416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Las de su fabricante; FLAMA no reetiqueta</w:t>
            </w:r>
          </w:p>
        </w:tc>
      </w:tr>
    </w:tbl>
    <w:p>
      <w:pPr>
        <w:spacing w:after="120"/>
      </w:pPr>
    </w:p>
    <w:p>
      <w:pPr>
        <w:keepNext/>
        <w:spacing w:after="60"/>
        <w:jc w:val="center"/>
      </w:pPr>
      <w:r>
        <w:drawing>
          <wp:inline distT="0" distB="0" distL="0" distR="0">
            <wp:extent cx="5400675" cy="45053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4505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9. Despacho: el número del cuerpo a la etiqueta de serie, al pallet y al remito; el formulario de despacho (con despacho parcial) y el semáforo del PT.</w:t>
      </w:r>
    </w:p>
    <w:p>
      <w:pPr>
        <w:pStyle w:val="Heading1"/>
        <w:keepNext/>
        <w:spacing w:after="120" w:before="240" w:line="276"/>
      </w:pPr>
      <w:r>
        <w:rPr>
          <w:rFonts w:ascii="Arial" w:cs="Arial" w:eastAsia="Arial" w:hAnsi="Arial"/>
          <w:color w:val="000000"/>
          <w:sz w:val="19"/>
          <w:szCs w:val="19"/>
        </w:rPr>
        <w:t xml:space="preserve">4. Fichas de control de los procesos críticos</w:t>
      </w:r>
    </w:p>
    <w:p>
      <w:pPr>
        <w:spacing w:after="100" w:before="0" w:line="276"/>
      </w:pPr>
      <w:r>
        <w:rPr>
          <w:rFonts w:ascii="Arial" w:cs="Arial" w:eastAsia="Arial" w:hAnsi="Arial"/>
          <w:color w:val="000000"/>
          <w:sz w:val="19"/>
          <w:szCs w:val="19"/>
        </w:rPr>
        <w:t xml:space="preserve">Una ficha por control crítico. Cada una dice en qué puestos del balanceo se usa y en qué sector del plano está, qué hay que registrar y con qué norma se acepta. Los campos con criterio se marcan solos; si alguno no cumple, la ficha queda «No conforme» y dice qué campo falló.</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3"/>
        <w:gridCol w:w="1387"/>
        <w:gridCol w:w="1090"/>
        <w:gridCol w:w="2972"/>
        <w:gridCol w:w="2080"/>
        <w:gridCol w:w="1684"/>
      </w:tblGrid>
      <w:tr>
        <w:trPr>
          <w:cantSplit/>
          <w:tblHeader/>
        </w:trPr>
        <w:tc>
          <w:tcPr>
            <w:tcW w:type="dxa" w:w="69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Ficha</w:t>
            </w:r>
          </w:p>
        </w:tc>
        <w:tc>
          <w:tcPr>
            <w:tcW w:type="dxa" w:w="138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Proceso</w:t>
            </w:r>
          </w:p>
        </w:tc>
        <w:tc>
          <w:tcPr>
            <w:tcW w:type="dxa" w:w="109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Puestos</w:t>
            </w:r>
          </w:p>
        </w:tc>
        <w:tc>
          <w:tcPr>
            <w:tcW w:type="dxa" w:w="297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registra</w:t>
            </w:r>
          </w:p>
        </w:tc>
        <w:tc>
          <w:tcPr>
            <w:tcW w:type="dxa" w:w="208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Criterio que marca</w:t>
            </w:r>
          </w:p>
        </w:tc>
        <w:tc>
          <w:tcPr>
            <w:tcW w:type="dxa" w:w="168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Norma</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Recepción de MP</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1 · car 1</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 lote o colada, certificado, espesor medido (chapa y fleje)</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Espesor ≥ nominal</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DOC-02 R1, L4, L5</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Marcado del cuerpo (Pannier)</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6</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Series desde–hasta, año, colada de la chapa, ubicación 15/20 mm, cuño DPS, legibilidad</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Marcado completo y legible</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3523 5.1 · 3550 5.1 · Res. 349/07 anexo IV</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Soldadura longitudinal</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9 y 10 · car 5</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Soldador calificado, WPS, proceso, lotes de alambre y gas, A y V, visual</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TIG en 1 kg, MAG en el resto; ISO 5817 C</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ISO 9606-1 · ISO 15614-1 · DOC-02 R2</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Soldadura de cúpula</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7 · car 6</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Igual que FAB-03; unión cuello-cúpula o cupla-cúpula</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ISO 5817 C</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FAB-05</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Soldadura circunferencial</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13 · car 7</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Igual que FAB-03</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ISO 5817 C</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Control de espesor</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14 (2 %)</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Instrumento y calibración, serie medida, 4 lecturas</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Mínima ≥ espesor nominal del modelo</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DOC-02 R1</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FAB-07</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Prueba hidráulica</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15 · car 9</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Banco, días desde el contraste, presión, tiempo, series rechazadas; por lote expansión y rotura</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Contraste ≤ 15 días · P ≥ 3,5 / 4,0 MPa · ≥ 60 s · permanente ≤ 10 % · rotura ≥ 2 × PH</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9.7.5.2 · Res. 349/07 art. 20 · DOC-02 R3, L1, L2</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Detección y corrección de defectos</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18 y 19</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Defecto, series, acción, si vuelve a PH</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Corrección con soldadura → repite la PH (criterio)</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ISO 5817 C · DOC-02 R2</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FAB-09</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Pintado</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20 · car 12 (pintor externo)</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Lote de polvo, Sa 2½, horas desde el granallado, HR, 5 lecturas de película, adherencia, MEK, color</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4 h · HR ≤ 85 % · 60 a 100 µm, ninguna &lt; 48 · clase 0 ó 1</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DOC-01 · ISO 2808 · ISO 2409 · ASTM D5402</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FAB-10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Ensayo de pérdidas</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24 · car 14-17</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Método, zona verde al presurizar y a las 24 h, sin pérdidas</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pérdidas; 24 h en verde (criterio)</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9.4.10 · DOC-02 R7, R8</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Producto terminado</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 26 · car 16</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Producto, unidades, series, fecha de fabricación, lugar en el PT, pesada, etiqueta de serie igual al marcado, estampillas IRAM</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Pesada en tolerancia; identificación completa</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DOC-02 R9 · IRAM Anexo R</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REC-01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 de recargas</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almacén</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Agente, lote, certificado, rótulo</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Agente normalizado con certificado; sin mezclar ABC y BC</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9.9, tabla 6, 9.9.1.6</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REC-02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Inspección interior</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 9 y 13</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OS, n° grabado, agente, videoscopio, humedad, corrosión, daño</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Seco; corrosión o abolladura → inutilizar</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9.8.2 · 9.7.1.2 · 9.7.1.3 · 9.12</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REC-03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Ensayo de pérdidas (recarga)</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 20</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OS, n° grabado, método, zona verde, sin pérdidas</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pérdidas; inmersión fuera del recinto</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9.4.10 · 9.4.8</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REC-04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PT de recargas</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 21</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Precinto, marbete del año, oblea, etiqueta, jaula, remito</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Precinto, marbete y oblea colocados</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9.4.13 · 9.6 · 9.4.14</w:t>
            </w:r>
          </w:p>
        </w:tc>
      </w:tr>
      <w:tr>
        <w:trPr>
          <w:cantSplit/>
        </w:trPr>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REV-01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Recepción de revendidos</w:t>
            </w:r>
          </w:p>
        </w:tc>
        <w:tc>
          <w:tcPr>
            <w:tcW w:type="dxa" w:w="109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almacén de PT</w:t>
            </w:r>
          </w:p>
        </w:tc>
        <w:tc>
          <w:tcPr>
            <w:tcW w:type="dxa" w:w="297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Modelo, fabricante, series del fabricante, año, sello IRAM, remito, lugar</w:t>
            </w:r>
          </w:p>
        </w:tc>
        <w:tc>
          <w:tcPr>
            <w:tcW w:type="dxa" w:w="20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legible, manómetro en verde, precinto intacto</w:t>
            </w:r>
          </w:p>
        </w:tc>
        <w:tc>
          <w:tcPr>
            <w:tcW w:type="dxa" w:w="168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9.4.13</w:t>
            </w:r>
          </w:p>
        </w:tc>
      </w:tr>
    </w:tbl>
    <w:p>
      <w:pPr>
        <w:spacing w:after="120"/>
      </w:pPr>
    </w:p>
    <w:p>
      <w:pPr>
        <w:spacing w:after="120" w:before="0" w:line="276"/>
      </w:pPr>
      <w:r>
        <w:rPr>
          <w:rFonts w:ascii="Arial" w:cs="Arial" w:eastAsia="Arial" w:hAnsi="Arial"/>
          <w:color w:val="595959"/>
          <w:sz w:val="16"/>
          <w:szCs w:val="16"/>
        </w:rPr>
        <w:t xml:space="preserve">Puestos: man = manuales, car = carros, rec = recargas, con el número de Balanceo-FLAMA2035 › Carga. Las cláusulas se citan; no se transcriben.</w:t>
      </w:r>
    </w:p>
    <w:p>
      <w:pPr>
        <w:keepNext/>
        <w:spacing w:after="60"/>
        <w:jc w:val="center"/>
      </w:pPr>
      <w:r>
        <w:drawing>
          <wp:inline distT="0" distB="0" distL="0" distR="0">
            <wp:extent cx="5400675" cy="8153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81534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10. Ficha FAB-07 (prueba hidráulica): el tiempo de 45 s queda en rojo porque la norma pide 1 minuto, y la ficha se guarda como no conforme.</w:t>
      </w:r>
    </w:p>
    <w:p>
      <w:pPr>
        <w:keepNext/>
        <w:spacing w:after="60"/>
        <w:jc w:val="center"/>
      </w:pPr>
      <w:r>
        <w:drawing>
          <wp:inline distT="0" distB="0" distL="0" distR="0">
            <wp:extent cx="5400675" cy="4591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45910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11. Las 16 fichas agrupadas por línea, con sus puestos y la cantidad de registros.</w:t>
      </w:r>
    </w:p>
    <w:p>
      <w:pPr>
        <w:pStyle w:val="Heading1"/>
        <w:keepNext/>
        <w:spacing w:after="120" w:before="240" w:line="276"/>
      </w:pPr>
      <w:r>
        <w:rPr>
          <w:rFonts w:ascii="Arial" w:cs="Arial" w:eastAsia="Arial" w:hAnsi="Arial"/>
          <w:color w:val="000000"/>
          <w:sz w:val="19"/>
          <w:szCs w:val="19"/>
        </w:rPr>
        <w:t xml:space="preserve">5. Cómo se une todo: la búsqueda de trazabilidad</w:t>
      </w:r>
    </w:p>
    <w:p>
      <w:pPr>
        <w:pStyle w:val="ListParagraph"/>
        <w:numPr>
          <w:ilvl w:val="0"/>
          <w:numId w:val="2"/>
        </w:numPr>
        <w:spacing w:after="40" w:before="0" w:line="276"/>
      </w:pPr>
      <w:r>
        <w:rPr>
          <w:rFonts w:ascii="Arial" w:cs="Arial" w:eastAsia="Arial" w:hAnsi="Arial"/>
          <w:b/>
          <w:bCs/>
          <w:color w:val="000000"/>
          <w:sz w:val="19"/>
          <w:szCs w:val="19"/>
        </w:rPr>
        <w:t xml:space="preserve">Hacia atrás.</w:t>
      </w:r>
      <w:r>
        <w:rPr>
          <w:rFonts w:ascii="Arial" w:cs="Arial" w:eastAsia="Arial" w:hAnsi="Arial"/>
          <w:color w:val="000000"/>
          <w:sz w:val="19"/>
          <w:szCs w:val="19"/>
        </w:rPr>
        <w:t xml:space="preserve"> La colada del paquete de chapa se carga al recibirlo (FAB-01) y otra vez al marcar (FAB-02): así cada rango de series queda unido a su certificado.</w:t>
      </w:r>
    </w:p>
    <w:p>
      <w:pPr>
        <w:pStyle w:val="ListParagraph"/>
        <w:numPr>
          <w:ilvl w:val="0"/>
          <w:numId w:val="2"/>
        </w:numPr>
        <w:spacing w:after="40" w:before="0" w:line="276"/>
      </w:pPr>
      <w:r>
        <w:rPr>
          <w:rFonts w:ascii="Arial" w:cs="Arial" w:eastAsia="Arial" w:hAnsi="Arial"/>
          <w:b/>
          <w:bCs/>
          <w:color w:val="000000"/>
          <w:sz w:val="19"/>
          <w:szCs w:val="19"/>
        </w:rPr>
        <w:t xml:space="preserve">A lo largo de la línea.</w:t>
      </w:r>
      <w:r>
        <w:rPr>
          <w:rFonts w:ascii="Arial" w:cs="Arial" w:eastAsia="Arial" w:hAnsi="Arial"/>
          <w:color w:val="000000"/>
          <w:sz w:val="19"/>
          <w:szCs w:val="19"/>
        </w:rPr>
        <w:t xml:space="preserve"> Cada ficha lleva el lote y el rango de series del marcado. Buscando un número aparece cada ficha cuyo rango lo contiene, en orden: marcado, soldaduras, espesor, PH, defectos, pintado, pérdidas, PT.</w:t>
      </w:r>
    </w:p>
    <w:p>
      <w:pPr>
        <w:pStyle w:val="ListParagraph"/>
        <w:numPr>
          <w:ilvl w:val="0"/>
          <w:numId w:val="2"/>
        </w:numPr>
        <w:spacing w:after="40" w:before="0" w:line="276"/>
      </w:pPr>
      <w:r>
        <w:rPr>
          <w:rFonts w:ascii="Arial" w:cs="Arial" w:eastAsia="Arial" w:hAnsi="Arial"/>
          <w:b/>
          <w:bCs/>
          <w:color w:val="000000"/>
          <w:sz w:val="19"/>
          <w:szCs w:val="19"/>
        </w:rPr>
        <w:t xml:space="preserve">Hacia adelante.</w:t>
      </w:r>
      <w:r>
        <w:rPr>
          <w:rFonts w:ascii="Arial" w:cs="Arial" w:eastAsia="Arial" w:hAnsi="Arial"/>
          <w:color w:val="000000"/>
          <w:sz w:val="19"/>
          <w:szCs w:val="19"/>
        </w:rPr>
        <w:t xml:space="preserve"> El pallet guarda sus series y su lugar; al despacharlo queda el remito y el vehículo.</w:t>
      </w:r>
    </w:p>
    <w:p>
      <w:pPr>
        <w:pStyle w:val="ListParagraph"/>
        <w:numPr>
          <w:ilvl w:val="0"/>
          <w:numId w:val="2"/>
        </w:numPr>
        <w:spacing w:after="40" w:before="0" w:line="276"/>
      </w:pPr>
      <w:r>
        <w:rPr>
          <w:rFonts w:ascii="Arial" w:cs="Arial" w:eastAsia="Arial" w:hAnsi="Arial"/>
          <w:b/>
          <w:bCs/>
          <w:color w:val="000000"/>
          <w:sz w:val="19"/>
          <w:szCs w:val="19"/>
        </w:rPr>
        <w:t xml:space="preserve">Revendidos y recargas.</w:t>
      </w:r>
      <w:r>
        <w:rPr>
          <w:rFonts w:ascii="Arial" w:cs="Arial" w:eastAsia="Arial" w:hAnsi="Arial"/>
          <w:color w:val="000000"/>
          <w:sz w:val="19"/>
          <w:szCs w:val="19"/>
        </w:rPr>
        <w:t xml:space="preserve"> Se buscan por el n° del fabricante o por la orden de servicio.</w:t>
      </w:r>
    </w:p>
    <w:p>
      <w:pPr>
        <w:keepNext/>
        <w:spacing w:after="60"/>
        <w:jc w:val="center"/>
      </w:pPr>
      <w:r>
        <w:drawing>
          <wp:inline distT="0" distB="0" distL="0" distR="0">
            <wp:extent cx="5400675" cy="3371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3718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12. Búsqueda del n° 20400: el lote que lo contiene (con acceso a su recorrido) y las fichas cuyo rango lo incluye, en orden.</w:t>
      </w:r>
    </w:p>
    <w:p>
      <w:pPr>
        <w:pStyle w:val="Heading1"/>
        <w:keepNext/>
        <w:spacing w:after="120" w:before="240" w:line="276"/>
      </w:pPr>
      <w:r>
        <w:rPr>
          <w:rFonts w:ascii="Arial" w:cs="Arial" w:eastAsia="Arial" w:hAnsi="Arial"/>
          <w:color w:val="000000"/>
          <w:sz w:val="19"/>
          <w:szCs w:val="19"/>
        </w:rPr>
        <w:t xml:space="preserve">6. Layout de planta</w:t>
      </w:r>
    </w:p>
    <w:p>
      <w:pPr>
        <w:spacing w:after="100" w:before="0" w:line="276"/>
      </w:pPr>
      <w:r>
        <w:rPr>
          <w:rFonts w:ascii="Arial" w:cs="Arial" w:eastAsia="Arial" w:hAnsi="Arial"/>
          <w:color w:val="000000"/>
          <w:sz w:val="19"/>
          <w:szCs w:val="19"/>
        </w:rPr>
        <w:t xml:space="preserve">El layout es el plano rev22 (plano_carros_rev22: planta integrada de carros, manuales y recargas, con el PT único al norte y la administración al sur), puesto de fondo en metros, con zoom con la ruedita, arrastre y filtros por línea. Encima van los 73 puestos, ubicados sobre el plano, y los recorridos de cada línea según sus circuitos (recargas 34, manuales 2-3-16 a 24, carros 3 a 12). Cada tramo va por los pasillos del plano y no atraviesa paredes: las paredes y portones salen del mismo PDF y los recorridos los traza caminos.js de la app de gestión interna.</w:t>
      </w:r>
    </w:p>
    <w:p>
      <w:pPr>
        <w:spacing w:after="100" w:before="0" w:line="276"/>
      </w:pPr>
      <w:r>
        <w:rPr>
          <w:rFonts w:ascii="Arial" w:cs="Arial" w:eastAsia="Arial" w:hAnsi="Arial"/>
          <w:color w:val="000000"/>
          <w:sz w:val="19"/>
          <w:szCs w:val="19"/>
        </w:rPr>
        <w:t xml:space="preserve">Cada ficha se carga en un puesto del plano; un lote está en el puesto de su última ficha. El punto de cada puesto muestra cuántos lotes u órdenes hay ahí (en rojo si alguno tiene una ficha no conforme); el almacén de MP, cuántos códigos hay para pedir; los puestos de PT, los lugares ocupados.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3962"/>
        <w:gridCol w:w="3567"/>
      </w:tblGrid>
      <w:tr>
        <w:trPr>
          <w:cantSplit/>
          <w:tblHeader/>
        </w:trPr>
        <w:tc>
          <w:tcPr>
            <w:tcW w:type="dxa" w:w="237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Ficha</w:t>
            </w:r>
          </w:p>
        </w:tc>
        <w:tc>
          <w:tcPr>
            <w:tcW w:type="dxa" w:w="396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Puesto en manuales</w:t>
            </w:r>
          </w:p>
        </w:tc>
        <w:tc>
          <w:tcPr>
            <w:tcW w:type="dxa" w:w="356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Puesto en carros</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FAB-01 · REC-01</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 de trazabilidad de MP (remitos)</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FAB-02</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Marcado de manuales (marcadora 1)</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2.1 Marcado de carros (marcadora 2)</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FAB-03</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M3 (2,5 a 10 kg) · M3b TIG (1 kg)</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Soldadura longitudinal</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FAB-04</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M6b Soldadura de cuello (rama)</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Soldadura de cupla</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FAB-05</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M7 Soldadura circunferencial</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 Armado y circunferencial</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FAB-06</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M8 Control de espesor</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FAB-07</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PH manuales</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PH carros</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FAB-08</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M11 Detección y corrección</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FAB-09</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M18 Pintura en polvo + horno</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 Recepción de pintados</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FAB-10</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M15 Ensayo de pérdidas</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13 Carga y presurización (con pérdidas)</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FAB-11</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16 Almacén de PT (rack)</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16c Expedición de carros</w:t>
            </w: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REC-02 · REC-03 · REC-04</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R8 Desarme · R20 Pérdidas · R21 Precinto y despacho (recargas)</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23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REV-01</w:t>
            </w:r>
          </w:p>
        </w:tc>
        <w:tc>
          <w:tcPr>
            <w:tcW w:type="dxa" w:w="39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Trazabilidad de PT</w:t>
            </w:r>
          </w:p>
        </w:tc>
        <w:tc>
          <w:tcPr>
            <w:tcW w:type="dxa" w:w="35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bl>
    <w:p>
      <w:pPr>
        <w:spacing w:after="120"/>
      </w:pPr>
    </w:p>
    <w:p>
      <w:pPr>
        <w:spacing w:after="120" w:before="0" w:line="276"/>
      </w:pPr>
      <w:r>
        <w:rPr>
          <w:rFonts w:ascii="Arial" w:cs="Arial" w:eastAsia="Arial" w:hAnsi="Arial"/>
          <w:color w:val="595959"/>
          <w:sz w:val="16"/>
          <w:szCs w:val="16"/>
        </w:rPr>
        <w:t xml:space="preserve">Los nombres de los sectores del PDF están dibujados como trazos (no como texto): los puestos se ubicaron a mano sobre una grilla de 1 m (±0,5 m) y quedan en trazabilidad/simple/rev22/generar_rev22.py para corregirlos.</w:t>
      </w:r>
    </w:p>
    <w:p>
      <w:pPr>
        <w:spacing w:after="100" w:before="0" w:line="276"/>
      </w:pPr>
      <w:r>
        <w:rPr>
          <w:rFonts w:ascii="Arial" w:cs="Arial" w:eastAsia="Arial" w:hAnsi="Arial"/>
          <w:color w:val="000000"/>
          <w:sz w:val="19"/>
          <w:szCs w:val="19"/>
        </w:rPr>
        <w:t xml:space="preserve">Al tocar un lote (desde el layout, el dashboard o la búsqueda) se dibuja su recorrido por los pasillos: verde lo que ya tiene ficha, punteado lo que falta y un punto rojo intermitente en su última ficha. El panel lista los pasos y marca «sin ficha» los puestos con ficha que el lote pasó sin cargarla.</w:t>
      </w:r>
    </w:p>
    <w:p>
      <w:pPr>
        <w:keepNext/>
        <w:spacing w:after="60"/>
        <w:jc w:val="center"/>
      </w:pPr>
      <w:r>
        <w:drawing>
          <wp:inline distT="0" distB="0" distL="0" distR="0">
            <wp:extent cx="5400675" cy="3371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3718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13. Recorrido de un lote de manuales sobre el plano rev22: con ficha hasta la última cargada; punteado lo que falta hasta el despacho.</w:t>
      </w:r>
    </w:p>
    <w:p>
      <w:pPr>
        <w:keepNext/>
        <w:spacing w:after="60"/>
        <w:jc w:val="center"/>
      </w:pPr>
      <w:r>
        <w:drawing>
          <wp:inline distT="0" distB="0" distL="0" distR="0">
            <wp:extent cx="5400675" cy="33718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3718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Figura 14. Recorrido de una recarga: de la playa al pulmón de entrada, recepción, recinto de polvo, carga, pérdidas, precinto y pulmón de salida.</w:t>
      </w:r>
    </w:p>
    <w:p>
      <w:pPr>
        <w:pStyle w:val="Heading1"/>
        <w:keepNext/>
        <w:spacing w:after="120" w:before="240" w:line="276"/>
      </w:pPr>
      <w:r>
        <w:rPr>
          <w:rFonts w:ascii="Arial" w:cs="Arial" w:eastAsia="Arial" w:hAnsi="Arial"/>
          <w:color w:val="000000"/>
          <w:sz w:val="19"/>
          <w:szCs w:val="19"/>
        </w:rPr>
        <w:t xml:space="preserve">7. Quién hace qué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3"/>
        <w:gridCol w:w="5646"/>
        <w:gridCol w:w="2477"/>
      </w:tblGrid>
      <w:tr>
        <w:trPr>
          <w:cantSplit/>
          <w:tblHeader/>
        </w:trPr>
        <w:tc>
          <w:tcPr>
            <w:tcW w:type="dxa" w:w="178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Rol</w:t>
            </w:r>
          </w:p>
        </w:tc>
        <w:tc>
          <w:tcPr>
            <w:tcW w:type="dxa" w:w="564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hace en la app</w:t>
            </w:r>
          </w:p>
        </w:tc>
        <w:tc>
          <w:tcPr>
            <w:tcW w:type="dxa" w:w="247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Cuándo</w:t>
            </w:r>
          </w:p>
        </w:tc>
      </w:tr>
      <w:tr>
        <w:trPr>
          <w:cantSplit/>
        </w:trPr>
        <w:tc>
          <w:tcPr>
            <w:tcW w:type="dxa" w:w="17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Almacén</w:t>
            </w:r>
          </w:p>
        </w:tc>
        <w:tc>
          <w:tcPr>
            <w:tcW w:type="dxa" w:w="56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Cuenta con la planilla y la sube; registra retiros; emite el pedido de la tarjeta; carga FAB-01 / REC-01 al recibir</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 cada revisión del proveedor y en cada recepción</w:t>
            </w:r>
          </w:p>
        </w:tc>
      </w:tr>
      <w:tr>
        <w:trPr>
          <w:cantSplit/>
        </w:trPr>
        <w:tc>
          <w:tcPr>
            <w:tcW w:type="dxa" w:w="17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Operario del puesto</w:t>
            </w:r>
          </w:p>
        </w:tc>
        <w:tc>
          <w:tcPr>
            <w:tcW w:type="dxa" w:w="56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Carga la ficha de su puesto con el lote y el rango de series</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 cerrar cada tanda o lote</w:t>
            </w:r>
          </w:p>
        </w:tc>
      </w:tr>
      <w:tr>
        <w:trPr>
          <w:cantSplit/>
        </w:trPr>
        <w:tc>
          <w:tcPr>
            <w:tcW w:type="dxa" w:w="17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w:t>
            </w:r>
          </w:p>
        </w:tc>
        <w:tc>
          <w:tcPr>
            <w:tcW w:type="dxa" w:w="56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Revisa las no conformes; libera el lote con FAB-11</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 terminar el lote</w:t>
            </w:r>
          </w:p>
        </w:tc>
      </w:tr>
      <w:tr>
        <w:trPr>
          <w:cantSplit/>
        </w:trPr>
        <w:tc>
          <w:tcPr>
            <w:tcW w:type="dxa" w:w="17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Depósito de PT</w:t>
            </w:r>
          </w:p>
        </w:tc>
        <w:tc>
          <w:tcPr>
            <w:tcW w:type="dxa" w:w="56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Ubica el pallet, mueve al andén y despacha con remito y series (pestaña Despacho)</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Los días fijos de cada vehículo</w:t>
            </w:r>
          </w:p>
        </w:tc>
      </w:tr>
      <w:tr>
        <w:trPr>
          <w:cantSplit/>
        </w:trPr>
        <w:tc>
          <w:tcPr>
            <w:tcW w:type="dxa" w:w="17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Recargas</w:t>
            </w:r>
          </w:p>
        </w:tc>
        <w:tc>
          <w:tcPr>
            <w:tcW w:type="dxa" w:w="56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REC-02 a REC-04 por orden de servicio</w:t>
            </w:r>
          </w:p>
        </w:tc>
        <w:tc>
          <w:tcPr>
            <w:tcW w:type="dxa" w:w="2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 cada equipo</w:t>
            </w:r>
          </w:p>
        </w:tc>
      </w:tr>
    </w:tbl>
    <w:p>
      <w:pPr>
        <w:spacing w:after="120"/>
      </w:pPr>
    </w:p>
    <w:p>
      <w:pPr>
        <w:pStyle w:val="Heading1"/>
        <w:keepNext/>
        <w:spacing w:after="120" w:before="240" w:line="276"/>
      </w:pPr>
      <w:r>
        <w:rPr>
          <w:rFonts w:ascii="Arial" w:cs="Arial" w:eastAsia="Arial" w:hAnsi="Arial"/>
          <w:color w:val="000000"/>
          <w:sz w:val="19"/>
          <w:szCs w:val="19"/>
        </w:rPr>
        <w:t xml:space="preserve">8. Lo que queda como criterio o por confirmar</w:t>
      </w:r>
    </w:p>
    <w:p>
      <w:pPr>
        <w:pStyle w:val="ListParagraph"/>
        <w:numPr>
          <w:ilvl w:val="0"/>
          <w:numId w:val="2"/>
        </w:numPr>
        <w:spacing w:after="40" w:before="0" w:line="276"/>
      </w:pPr>
      <w:r>
        <w:rPr>
          <w:rFonts w:ascii="Arial" w:cs="Arial" w:eastAsia="Arial" w:hAnsi="Arial"/>
          <w:color w:val="000000"/>
          <w:sz w:val="19"/>
          <w:szCs w:val="19"/>
        </w:rPr>
        <w:t xml:space="preserve">15 mm y 20 mm del marcado (ubicación fija en la chapa): criterio para librar el cordón y el bordón.</w:t>
      </w:r>
    </w:p>
    <w:p>
      <w:pPr>
        <w:pStyle w:val="ListParagraph"/>
        <w:numPr>
          <w:ilvl w:val="0"/>
          <w:numId w:val="2"/>
        </w:numPr>
        <w:spacing w:after="40" w:before="0" w:line="276"/>
      </w:pPr>
      <w:r>
        <w:rPr>
          <w:rFonts w:ascii="Arial" w:cs="Arial" w:eastAsia="Arial" w:hAnsi="Arial"/>
          <w:color w:val="000000"/>
          <w:sz w:val="19"/>
          <w:szCs w:val="19"/>
        </w:rPr>
        <w:t xml:space="preserve">Reparto de códigos en los lugares (sección 2.2) y frecuencia de conteo por almacén: criterio, a ajustar en planta.</w:t>
      </w:r>
    </w:p>
    <w:p>
      <w:pPr>
        <w:pStyle w:val="ListParagraph"/>
        <w:numPr>
          <w:ilvl w:val="0"/>
          <w:numId w:val="2"/>
        </w:numPr>
        <w:spacing w:after="40" w:before="0" w:line="276"/>
      </w:pPr>
      <w:r>
        <w:rPr>
          <w:rFonts w:ascii="Arial" w:cs="Arial" w:eastAsia="Arial" w:hAnsi="Arial"/>
          <w:color w:val="000000"/>
          <w:sz w:val="19"/>
          <w:szCs w:val="19"/>
        </w:rPr>
        <w:t xml:space="preserve">Tarjeta kanban física de cada formato y redondeo al bulto entero (sección 2.3): criterio. Semáforo del PT (sección 3.2): criterio.</w:t>
      </w:r>
    </w:p>
    <w:p>
      <w:pPr>
        <w:pStyle w:val="ListParagraph"/>
        <w:numPr>
          <w:ilvl w:val="0"/>
          <w:numId w:val="2"/>
        </w:numPr>
        <w:spacing w:after="40" w:before="0" w:line="276"/>
      </w:pPr>
      <w:r>
        <w:rPr>
          <w:rFonts w:ascii="Arial" w:cs="Arial" w:eastAsia="Arial" w:hAnsi="Arial"/>
          <w:color w:val="000000"/>
          <w:sz w:val="19"/>
          <w:szCs w:val="19"/>
        </w:rPr>
        <w:t xml:space="preserve">Colores del PT por mes (4 que rotan): criterio; se pueden alinear con la regla de colores del Word de carros.</w:t>
      </w:r>
    </w:p>
    <w:p>
      <w:pPr>
        <w:pStyle w:val="ListParagraph"/>
        <w:numPr>
          <w:ilvl w:val="0"/>
          <w:numId w:val="2"/>
        </w:numPr>
        <w:spacing w:after="40" w:before="0" w:line="276"/>
      </w:pPr>
      <w:r>
        <w:rPr>
          <w:rFonts w:ascii="Arial" w:cs="Arial" w:eastAsia="Arial" w:hAnsi="Arial"/>
          <w:color w:val="000000"/>
          <w:sz w:val="19"/>
          <w:szCs w:val="19"/>
        </w:rPr>
        <w:t xml:space="preserve">Puestos del plano rev22 ubicados a mano sobre una grilla de 1 m (±0,5 m), porque los nombres del PDF son trazos. Reventa y sustitutos no tienen lugar propio en el plano: la app los muestra como zonas del PT; la recepción de revendidos se ubica en el puesto «Trazabilidad de PT».</w:t>
      </w:r>
    </w:p>
    <w:p>
      <w:pPr>
        <w:pStyle w:val="ListParagraph"/>
        <w:numPr>
          <w:ilvl w:val="0"/>
          <w:numId w:val="2"/>
        </w:numPr>
        <w:spacing w:after="40" w:before="0" w:line="276"/>
      </w:pPr>
      <w:r>
        <w:rPr>
          <w:rFonts w:ascii="Arial" w:cs="Arial" w:eastAsia="Arial" w:hAnsi="Arial"/>
          <w:color w:val="000000"/>
          <w:sz w:val="19"/>
          <w:szCs w:val="19"/>
        </w:rPr>
        <w:t xml:space="preserve">Los datos de ejemplo (dos semanas de lotes, recargas y conteos) son para ver la app funcionando; se borran con «Empezar en limpio». Los parámetros (seguridad, punto de pedido, máximos, lugares, puestos) son los reales.</w:t>
      </w:r>
    </w:p>
    <w:p>
      <w:pPr>
        <w:pStyle w:val="ListParagraph"/>
        <w:numPr>
          <w:ilvl w:val="0"/>
          <w:numId w:val="2"/>
        </w:numPr>
        <w:spacing w:after="40" w:before="0" w:line="276"/>
      </w:pPr>
      <w:r>
        <w:rPr>
          <w:rFonts w:ascii="Arial" w:cs="Arial" w:eastAsia="Arial" w:hAnsi="Arial"/>
          <w:color w:val="000000"/>
          <w:sz w:val="19"/>
          <w:szCs w:val="19"/>
        </w:rPr>
        <w:t xml:space="preserve">FAB-10: la lectura a las 24 h es criterio FLAMA (DOC-02 R8). FAB-06: sin tolerancia de espesor publicada, se toma ≥ nominal.</w:t>
      </w:r>
    </w:p>
    <w:p>
      <w:pPr>
        <w:pStyle w:val="ListParagraph"/>
        <w:numPr>
          <w:ilvl w:val="0"/>
          <w:numId w:val="2"/>
        </w:numPr>
        <w:spacing w:after="40" w:before="0" w:line="276"/>
      </w:pPr>
      <w:r>
        <w:rPr>
          <w:rFonts w:ascii="Arial" w:cs="Arial" w:eastAsia="Arial" w:hAnsi="Arial"/>
          <w:color w:val="000000"/>
          <w:sz w:val="19"/>
          <w:szCs w:val="19"/>
        </w:rPr>
        <w:t xml:space="preserve">La app de esta entrega guarda lo cargado en el navegador. Para usarla entre varios puestos hay que pasar los registros a la base de la app de gestión interna (la misma API y la misma base SQLite).</w:t>
      </w:r>
    </w:p>
    <w:p>
      <w:r>
        <w:br w:type="page"/>
      </w:r>
    </w:p>
    <w:p>
      <w:pPr>
        <w:pStyle w:val="Heading1"/>
        <w:keepNext/>
        <w:spacing w:after="120" w:before="240" w:line="276"/>
      </w:pPr>
      <w:r>
        <w:rPr>
          <w:rFonts w:ascii="Arial" w:cs="Arial" w:eastAsia="Arial" w:hAnsi="Arial"/>
          <w:color w:val="000000"/>
          <w:sz w:val="19"/>
          <w:szCs w:val="19"/>
        </w:rPr>
        <w:t xml:space="preserve">Anexo. Puntos de pedido de las 125 MP</w:t>
      </w:r>
    </w:p>
    <w:p>
      <w:pPr>
        <w:spacing w:after="100" w:before="0" w:line="276"/>
      </w:pPr>
      <w:r>
        <w:rPr>
          <w:rFonts w:ascii="Arial" w:cs="Arial" w:eastAsia="Arial" w:hAnsi="Arial"/>
          <w:color w:val="000000"/>
          <w:sz w:val="19"/>
          <w:szCs w:val="19"/>
        </w:rPr>
        <w:t xml:space="preserve">MP-FLAMA2035 › Stock_MP, filas 6 a 130. Unidades en la unidad de cada código; bulto = unidad de compra; lugar = reparto de la sección 2.2; PP (días) = punto de pedido ÷ consumo por día (col. G), en días hábiles.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1981"/>
        <w:gridCol w:w="495"/>
        <w:gridCol w:w="792"/>
        <w:gridCol w:w="792"/>
        <w:gridCol w:w="792"/>
        <w:gridCol w:w="693"/>
        <w:gridCol w:w="1387"/>
        <w:gridCol w:w="594"/>
        <w:gridCol w:w="1588"/>
      </w:tblGrid>
      <w:tr>
        <w:trPr>
          <w:cantSplit/>
          <w:tblHeader/>
        </w:trPr>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Código</w:t>
            </w:r>
          </w:p>
        </w:tc>
        <w:tc>
          <w:tcPr>
            <w:tcW w:type="dxa" w:w="198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Material</w:t>
            </w:r>
          </w:p>
        </w:tc>
        <w:tc>
          <w:tcPr>
            <w:tcW w:type="dxa" w:w="49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UM</w:t>
            </w:r>
          </w:p>
        </w:tc>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Seguridad</w:t>
            </w:r>
          </w:p>
        </w:tc>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Punto de pedido</w:t>
            </w:r>
          </w:p>
        </w:tc>
        <w:tc>
          <w:tcPr>
            <w:tcW w:type="dxa" w:w="7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Máximo</w:t>
            </w:r>
          </w:p>
        </w:tc>
        <w:tc>
          <w:tcPr>
            <w:tcW w:type="dxa" w:w="69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PP (días)</w:t>
            </w:r>
          </w:p>
        </w:tc>
        <w:tc>
          <w:tcPr>
            <w:tcW w:type="dxa" w:w="138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 compra</w:t>
            </w:r>
          </w:p>
        </w:tc>
        <w:tc>
          <w:tcPr>
            <w:tcW w:type="dxa" w:w="59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Cada (d)</w:t>
            </w:r>
          </w:p>
        </w:tc>
        <w:tc>
          <w:tcPr>
            <w:tcW w:type="dxa" w:w="158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Lugar</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LAF 0,9 × 1220 × 2440 mm (cuerpo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208,6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441,0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21 hojas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CH-01</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LAF 1,25 × 1220 × 2440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19 hojas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CH-02</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MP-03</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LAF 1,6 × 1000 × 2000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260,5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552,0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11,7</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24 hojas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CH-03, CH-04</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MP-04</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LAF 2,0 × 1500 × 3000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28,1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57,0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19 hojas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CH-05</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0,9 × 93,05 mm (cúpula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217,7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646,1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1.306,3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218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FL01-1A, FL01-2A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MP-13</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0,9 × 100,6 mm (fondo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252,4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749,1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1.514,7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252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FL01-3A, FL01-4A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MP-06</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1,25 × 162,1 mm (cúpula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257,5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384,2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515,1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258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FL01-1B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MP-14</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1,25 × 146,1 mm (fondo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208,7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311,3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417,4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209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1,6 × 204,2 mm (cúpula 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1.181,5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2.343,8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3.544,5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1,181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FL01-3B, FL01-4B, FL02-1A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MP-08</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1,6 × 177,2 mm (fondo 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886,4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1.758,5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2.659,3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886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FL02-2A, FL02-3A, FL02-4A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MP-09</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2,0 × 238,7 mm (cúpula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245,0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365,6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490,0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245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FL02-1B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Fleje LAF 2,0 × 205 mm (fondo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179,0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267,1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358,1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179 kg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FL02-2B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LAC 3,2 × 1500 × 3000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7 hojas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CH-06</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LAC 4,75 × 1500 × 3000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12,9</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3 hojas (1 tanda)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Casquete 10" × 3,2 mm (carro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223,9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399,3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Contenedor de 360 u (180 cúpulas + 180 fondos, ≈ 1000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CC01-1A, CC01-3B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MP-16</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Casquete 12" × 3,2 mm (carro 50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86,3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492,0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606,3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Contenedor de 260 u (130 cúpulas + 130 fondos, ≈ 990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CC01-2A, CC01-3A, CC01-2B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Casquete 15" × 4,75 mm (carros 70 y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179,0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147,4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Contenedor de 116 u (58 cúpulas + 58 fondos, ≈ 890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CC01-1B, CC01-3B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MP-18</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Asiento de válvula M22 × 1,5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3.647,2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26.442,0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22.147,2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500 u (≈ 16 kg, un turno)</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IM01-1A, IM03-3A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MP-19</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Asiento de válvula M30 × 1,5 (2,5 a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1.473,2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10.680,4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8.973,2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500 u (≈ 15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IM01-2A, IM03-3B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Cupla M30 × 1,5 (carros 25 y 50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44,7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324,4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344,7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100 u (25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CC01-2B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Cupla 2½" BSP (carros 70 y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91,2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40 u (24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CC01-3B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MP-66</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Caño SAE 1010 1" × 2,0 × 6 m (manija; caño del eje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46,9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 de 6 m (un atado por pedido)</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CA-01</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Caño SAE 1010 1¼" × 2,0 × 6 m (caño del eje 50 a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 de 6 m (un atado por pedido)</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CA-02</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MP-68</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 trefilada SAE 1045 3/4" × 4 m (eje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 de 4 m</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CA-02</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MP-69</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 trefilada SAE 1045 1" × 6 m (eje 50 a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Barra de 6 m</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CA-01</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Arandela de tope del eje</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163,3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1.042,3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Pasador partido del eje</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1.021,2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IC02-2A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MP-54/300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Rueda Ø300 × 50, buje 3/4" (carro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149,3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72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IC01-1A, IC01-2B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MP-54/350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Rueda Ø350 × 60, buje 1" (carro 50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44,9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227,6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72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IC01-2A, IC01-2B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MP-54/400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Rueda Ø400 × 60, buje 1" (carros 70 y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72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MP-23</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Alambre MAG ER70S-6 Ø0,9 mm (manuales)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134,8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922,5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60 bobinas de 15 kg (900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SO01-1A, SO01-2B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MP-24</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Alambre MAG ER70S-6 Ø1,0 mm (carros)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140,2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Bobina de 15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Gas MAG Ar + 8 % CO₂ (Arcal 21)</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m³</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233,7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Batería de 11 cilindros con manifold (115,5 m³)</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GA-01, GA-02, GA-07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MP-26</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Argón puro EN ISO 14175 I1 (costura longitudinal TIG del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m³</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de 10,5 m³</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MP-29</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Electrodo de tungsteno lantanado 2 % (WL20) Ø2,4 × 175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MP-92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Disco de sensitiva 355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Disco de corte 115 × 1,0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25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MP-93</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Disco flap 115 mm grano 60</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MP-94</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Mecha de acero rápido 4,5 mm</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MP-95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Spray antiproyecciones 400 ml</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 (aerosol de 400 ml)</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MP-28</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Granalla de acero S330 / S390</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3.007,6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1.000 kg (40 bolsas de 25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SO01-2A, SO01-3A, SO01-1B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Pintura en polvo poliéster rojo 03-1-050</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326,2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PQ-08</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MP-33</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Polvo ABC 60 (manuales y sus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3.207,5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8.314,5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10.207,5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Big bag de 1.000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PQ-01, PQ-02, PQ-03, PQ-04, PQ-05, PQ-08</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MP-33B</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Polvo ABC 90 (carros y sus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1.207,4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3.129,9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4.207,4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Big bag de 1.000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PQ-06, PQ-07, PQ-08</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MP-34</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Nitrógeno seco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m³</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113,4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Pack de 12 cilindros con manifold (110 m³)</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GA-03, GA-07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Polvo BC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83,6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25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PQ-08</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MP-36</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Polvo clase D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138,8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25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PQ-08</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CO₂ líquido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77,3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de 25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GA-04, GA-05, GA-06, GA-07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MP-38</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Agente limpio HCFC-123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kg</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52,2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Cilindro de 50 kg</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IR01-1A, IR01-2A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Concentrado AFFF 3 %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Bidón de 20 L</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IR01-2A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Acetato de potasio Gastro K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87,4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226,5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887,4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Tambor de 200 L (4 por pallet)</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IR01-2A, IR01-3A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Válvula HZ M-22 con tubo de pesca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275,3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1.010,3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3.275,3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3.000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IM01-3A, IM04-1A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MP-43</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Válvula HZ M-30 con resorte, sin tubo pescante (2,5 a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344,2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1.263,0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4.844,2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1.500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IM01-1B, IM01-2B, IM01-3B, IM03-3B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MP-44/25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Válvula HZ de carro 25 kg, sin tubo pescante</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MP-44/50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Válvula HZ de carro 50-70-100 kg, sin tubo pescante</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141,7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Manómetro 1,4 MPa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635,0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2.330,5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7.335,0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IM02-1A, IM02-2A, IM03-1B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MP-46/ABC2.5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Tubo pescante de PVC rígido, ABC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63,8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234,2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863,8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IM03-3A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MP-46/ABC5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Tubo pescante de PVC rígido, ABC 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264,5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970,7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3.064,5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MP-46/ABC10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Tubo pescante de PVC rígido, ABC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58,1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215,8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IM04-1A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MP-47/ABC25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Tubo pescante de acero SAE 1010, carro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63,9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MP-47/ABC50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Tubo pescante de acero SAE 1010, carro 50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MP-47/ABC70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Tubo pescante de acero SAE 1010, carro 70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MP-47/ABC100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Tubo pescante de acero SAE 1010, carro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20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IC02-2A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MP-48/ABC1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Tobera ABC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275,3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1.010,3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3.175,3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IM02-3A, IM02-1B, IM04-1A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MP-48/ABC2.5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Manguera con tobera ABC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63,8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234,2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763,8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MP-48/ABC5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Manguera con tobera ABC 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264,5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970,7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3.064,5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IM02-2B, IM02-3B, IM03-1B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MP-48/ABC10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Manguera con tobera ABC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58,1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215,8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IM04-1A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MP-49/ABC25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Manguera con válvula esférica y tobera, carro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53,9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MP-49/ABC50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Manguera con válvula esférica y tobera, carro 50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98,6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IC01-3A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MP-49/ABC70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Manguera con válvula esférica y tobera, carro 70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MP-49/ABC100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Manguera con válvula esférica y tobera, carro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IC01-3A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MP-50/M22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Junta tórica del cuello M22</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187,1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721,6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3.187,1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MP-50/M30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Junta tórica del cuello M30</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242,4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934,8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4.242,4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MP-50/2½</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Junta tórica del cuello 2½"</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IC01-1B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MP-50/OT</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Junta tórica del cuello (recargas, surtido por medida)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893,7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2.591,8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11.893,7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 (surtido por medida)</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IR01-3A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MP-52/ABC2.5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Soporte de pared ABC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234,2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779,3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MP-52/ABC5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Soporte de pared ABC 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328,7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970,7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3.128,7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IM03-1A, IM03-2B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MP-52/ABC10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Soporte de pared ABC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58,1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219,7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IM04-1A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Soporte vehicular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342,1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1.010,3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3.242,1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IM03-2A, IM04-1A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MP-86</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Tornillo y tarugo de fijación</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467,8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1.804,3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8.467,8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IM03-2B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Conjunto de seguridad de CO₂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111,2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439,6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8,5</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IR01-3A, IR01-1B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342,1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1.010,3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3.342,1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ID-04</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234,2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1.079,3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ID-04</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328,7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970,7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3.328,7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ID-06</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MP-56/ABC10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1.005,1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ID-05</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501,2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ID-04</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MP-56/ABC50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50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1.002,7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ID-06</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MP-56/ABC70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70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250,6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250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ID-06</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MP-56/ABC100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características ABC 100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250,4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250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MP-78</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Oblea de fabricación (PBA)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254,3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5.518,8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ID-05</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MP-79</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Estampilla IRAM de conformidad</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517,9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6.991,5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7.517,9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22,7</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ID-04</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Tarjeta de identificación AGC (CABA)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164,5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3.512,2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n° de serie GS1</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789,2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2.330,5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7.789,2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ID-05</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Faja de garantía válvula-cuello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789,2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2.330,5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7.789,2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ID-06</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Precinto de fábrica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431,6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1.664,6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7.431,6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5,4</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ID-06</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MP-88</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del cilindro suelto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2.278,3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6.728,0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22.278,3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ID-01, ID-07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MP-62/M22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Tapón protector de rosca M22</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3.055,7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7.674,7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23.055,7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EM05-1A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MP-62/M30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Tapón protector de rosca M30</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766,5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1.925,1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5.766,5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5.000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EM04-3B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MP-62/2½</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Tapón protector de rosca 2½"</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254,6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250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EM05-1A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Impresos (protocolo de ensayo, remito de préstamo)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1.472,1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3.242,3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23.472,1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ID-02, ID-03, ID-07</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Marbete del año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1.595,2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3.843,7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12.595,2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8,5</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IR01-1B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MP-97</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Precinto del recargador</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946,7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2.745,5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11.946,7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6,1</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Bolsa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IR01-1B, IR01-2B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servicio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1.595,2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3.843,7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12.595,2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8,5</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IR01-2B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Estampilla y oblea de recarga (PBA)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435,1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9.078,8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IR01-2B, IR01-3B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MP-76</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Tarjeta de identificación DPS (PBA)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435,1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9.078,8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500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IR01-3B, IR02-1A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MP-82</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Faja amarilla de sustituto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102,1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MP-83</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Tarjeta DPS «sustituto habilitado»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100,1</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100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MP-84</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Tarjeta AGC «es sustituto»</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50,0</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0,8</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Paquete de 50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Esmalte sintético rojo RAL 3000 (recargas)</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14,1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39,2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Lata de 4 L</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IR02-1A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MP-59/ABC1</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cartón simple ABC 1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3.123,7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13.676,9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7.923,7</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600 cajas plegadas</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EM01-1A, EM01-2A, EM01-3A, EM01-1B, EM01-2B, EM01-3B, EM02-1A, EM02-2A, EM02-3A, EM02-1B, EM02-2B, EM02-3B, EM03-1A, EM04-3B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MP-59/ABC2.5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cartón simple ABC 2,5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217,8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953,5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817,8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600 cajas plegadas</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EM03-2A, EM05-1A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MP-59/ABC5</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cartón simple ABC 5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984,4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4.310,1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2.784,4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600 cajas plegadas</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EM03-3A, EM03-1B, EM03-2B, EM03-3B, EM04-3B</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MP-59/ABC10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de cartón doble ABC 10 kg</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59,6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659,6</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600 cajas plegadas</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EM04-1A, EM05-3A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MP-89</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caja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3.034,3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8.960,6</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29.034,3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EM04-2A, EM05-2A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MP-60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de madera 1200 × 1000</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52,9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Pila de 15 pallets</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EM04-3A, EM04-1B, EM04-2B, EM05-2A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MP-90</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pallet</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16,3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48,3</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1.016,3</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Rollo de 1.000 u</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EM05-1A</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RV-AGUA_10l</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Agua 10 l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51,4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112,0</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371,4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RV-01, RV-02, RV-11</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RV-AFFF_10l</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AFFF 10 l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37,4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124,2</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RV-12</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RV-AFFF_50l</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AFFF 50 l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4,4</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13,1</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42,4</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RV-11</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RV-BC_5kg</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BC 5 kg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9,3</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RV-11</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RV-SALESK_6l</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Clase K 6 l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7,8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189,8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RV-03, RV-12</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RV-CO2_2kg</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CO₂ 2 kg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123,8</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269,7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894,8</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RV-04, RV-05, RV-06, RV-07, RV-10</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RV-CO2_5kg</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CO₂ 5 kg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17,9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41,5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433,9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RV-08, RV-09, RV-13</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RV-HCFC-HFC_5kg</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HCFC 5 kg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8,2</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85,5</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2,6</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RV-13</w:t>
            </w:r>
          </w:p>
        </w:tc>
      </w:tr>
      <w:tr>
        <w:trPr>
          <w:cantSplit/>
        </w:trPr>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RV-CLASED_9l</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Matafuego Clase D 9 l (reventa)</w:t>
            </w:r>
          </w:p>
        </w:tc>
        <w:tc>
          <w:tcPr>
            <w:tcW w:type="dxa" w:w="4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4,9</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10,7</w:t>
            </w:r>
          </w:p>
        </w:tc>
        <w:tc>
          <w:tcPr>
            <w:tcW w:type="dxa" w:w="7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35,9</w:t>
            </w:r>
          </w:p>
        </w:tc>
        <w:tc>
          <w:tcPr>
            <w:tcW w:type="dxa" w:w="69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9,2</w:t>
            </w:r>
          </w:p>
        </w:tc>
        <w:tc>
          <w:tcPr>
            <w:tcW w:type="dxa" w:w="138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w:t>
            </w:r>
          </w:p>
        </w:tc>
        <w:tc>
          <w:tcPr>
            <w:tcW w:type="dxa" w:w="59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jc w:val="right"/>
            </w:pPr>
            <w:r>
              <w:rPr>
                <w:rFonts w:ascii="Arial" w:cs="Arial" w:eastAsia="Arial" w:hAnsi="Arial"/>
                <w:b w:val="false"/>
                <w:bCs w:val="false"/>
                <w:color w:val="000000"/>
                <w:sz w:val="16"/>
                <w:szCs w:val="16"/>
              </w:rPr>
              <w:t xml:space="preserve">20</w:t>
            </w:r>
          </w:p>
        </w:tc>
        <w:tc>
          <w:tcPr>
            <w:tcW w:type="dxa" w:w="15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RV-12</w:t>
            </w:r>
          </w:p>
        </w:tc>
      </w:tr>
    </w:tbl>
    <w:p>
      <w:pPr>
        <w:spacing w:after="120"/>
      </w:pPr>
    </w:p>
    <w:p>
      <w:pPr>
        <w:pStyle w:val="Heading1"/>
        <w:keepNext/>
        <w:spacing w:after="120" w:before="240" w:line="276"/>
      </w:pPr>
      <w:r>
        <w:rPr>
          <w:rFonts w:ascii="Arial" w:cs="Arial" w:eastAsia="Arial" w:hAnsi="Arial"/>
          <w:color w:val="000000"/>
          <w:sz w:val="19"/>
          <w:szCs w:val="19"/>
        </w:rPr>
        <w:t xml:space="preserve">Fuentes</w:t>
      </w:r>
    </w:p>
    <w:p>
      <w:pPr>
        <w:pStyle w:val="ListParagraph"/>
        <w:numPr>
          <w:ilvl w:val="0"/>
          <w:numId w:val="2"/>
        </w:numPr>
        <w:spacing w:after="40" w:before="0" w:line="276"/>
      </w:pPr>
      <w:r>
        <w:rPr>
          <w:rFonts w:ascii="Arial" w:cs="Arial" w:eastAsia="Arial" w:hAnsi="Arial"/>
          <w:color w:val="000000"/>
          <w:sz w:val="19"/>
          <w:szCs w:val="19"/>
        </w:rPr>
        <w:t xml:space="preserve">MP-FLAMA2035.xlsx y .docx (Stock_MP, Almacenes)</w:t>
      </w:r>
    </w:p>
    <w:p>
      <w:pPr>
        <w:pStyle w:val="ListParagraph"/>
        <w:numPr>
          <w:ilvl w:val="0"/>
          <w:numId w:val="2"/>
        </w:numPr>
        <w:spacing w:after="40" w:before="0" w:line="276"/>
      </w:pPr>
      <w:r>
        <w:rPr>
          <w:rFonts w:ascii="Arial" w:cs="Arial" w:eastAsia="Arial" w:hAnsi="Arial"/>
          <w:color w:val="000000"/>
          <w:sz w:val="19"/>
          <w:szCs w:val="19"/>
        </w:rPr>
        <w:t xml:space="preserve">PTPINTADO-FLAMA2035.xlsx y .docx (Stock_PT, Almacen_PT, Despacho, Pintura)</w:t>
      </w:r>
    </w:p>
    <w:p>
      <w:pPr>
        <w:pStyle w:val="ListParagraph"/>
        <w:numPr>
          <w:ilvl w:val="0"/>
          <w:numId w:val="2"/>
        </w:numPr>
        <w:spacing w:after="40" w:before="0" w:line="276"/>
      </w:pPr>
      <w:r>
        <w:rPr>
          <w:rFonts w:ascii="Arial" w:cs="Arial" w:eastAsia="Arial" w:hAnsi="Arial"/>
          <w:color w:val="000000"/>
          <w:sz w:val="19"/>
          <w:szCs w:val="19"/>
        </w:rPr>
        <w:t xml:space="preserve">Balanceo-FLAMA2035.xlsx y .docx (Carga, Pulmones)</w:t>
      </w:r>
    </w:p>
    <w:p>
      <w:pPr>
        <w:pStyle w:val="ListParagraph"/>
        <w:numPr>
          <w:ilvl w:val="0"/>
          <w:numId w:val="2"/>
        </w:numPr>
        <w:spacing w:after="40" w:before="0" w:line="276"/>
      </w:pPr>
      <w:r>
        <w:rPr>
          <w:rFonts w:ascii="Arial" w:cs="Arial" w:eastAsia="Arial" w:hAnsi="Arial"/>
          <w:color w:val="000000"/>
          <w:sz w:val="19"/>
          <w:szCs w:val="19"/>
        </w:rPr>
        <w:t xml:space="preserve">PULMONES-FLAMA2035.docx</w:t>
      </w:r>
    </w:p>
    <w:p>
      <w:pPr>
        <w:pStyle w:val="ListParagraph"/>
        <w:numPr>
          <w:ilvl w:val="0"/>
          <w:numId w:val="2"/>
        </w:numPr>
        <w:spacing w:after="40" w:before="0" w:line="276"/>
      </w:pPr>
      <w:r>
        <w:rPr>
          <w:rFonts w:ascii="Arial" w:cs="Arial" w:eastAsia="Arial" w:hAnsi="Arial"/>
          <w:color w:val="000000"/>
          <w:sz w:val="19"/>
          <w:szCs w:val="19"/>
        </w:rPr>
        <w:t xml:space="preserve">Plano plano_carros_rev22.pdf (planta integrada, layout y circuitos 1 a 45)</w:t>
      </w:r>
    </w:p>
    <w:p>
      <w:pPr>
        <w:pStyle w:val="ListParagraph"/>
        <w:numPr>
          <w:ilvl w:val="0"/>
          <w:numId w:val="2"/>
        </w:numPr>
        <w:spacing w:after="40" w:before="0" w:line="276"/>
      </w:pPr>
      <w:r>
        <w:rPr>
          <w:rFonts w:ascii="Arial" w:cs="Arial" w:eastAsia="Arial" w:hAnsi="Arial"/>
          <w:color w:val="000000"/>
          <w:sz w:val="19"/>
          <w:szCs w:val="19"/>
        </w:rPr>
        <w:t xml:space="preserve">App de gestión interna FLAMA (estructura, estilo y caminos por los pasillos)</w:t>
      </w:r>
    </w:p>
    <w:p>
      <w:pPr>
        <w:pStyle w:val="ListParagraph"/>
        <w:numPr>
          <w:ilvl w:val="0"/>
          <w:numId w:val="2"/>
        </w:numPr>
        <w:spacing w:after="40" w:before="0" w:line="276"/>
      </w:pPr>
      <w:r>
        <w:rPr>
          <w:rFonts w:ascii="Arial" w:cs="Arial" w:eastAsia="Arial" w:hAnsi="Arial"/>
          <w:color w:val="000000"/>
          <w:sz w:val="19"/>
          <w:szCs w:val="19"/>
        </w:rPr>
        <w:t xml:space="preserve">IRAM 3517-2:2020 (9.4.5, 9.4.8, 9.4.10, 9.4.13, 9.4.14, 9.6, 9.7, 9.8.2, 9.9, 9.12) · IRAM 3523 y 3550 (5.1) · Res. 349/07 PBA (art. 20, anexo IV)</w:t>
      </w:r>
    </w:p>
    <w:p>
      <w:pPr>
        <w:pStyle w:val="ListParagraph"/>
        <w:numPr>
          <w:ilvl w:val="0"/>
          <w:numId w:val="2"/>
        </w:numPr>
        <w:spacing w:after="40" w:before="0" w:line="276"/>
      </w:pPr>
      <w:r>
        <w:rPr>
          <w:rFonts w:ascii="Arial" w:cs="Arial" w:eastAsia="Arial" w:hAnsi="Arial"/>
          <w:color w:val="000000"/>
          <w:sz w:val="19"/>
          <w:szCs w:val="19"/>
        </w:rPr>
        <w:t xml:space="preserve">DOC-01 (pintura) y DOC-02 (ensayos de fabricación) del repositorio de planos</w:t>
      </w:r>
    </w:p>
    <w:p>
      <w:pPr>
        <w:pStyle w:val="ListParagraph"/>
        <w:numPr>
          <w:ilvl w:val="0"/>
          <w:numId w:val="2"/>
        </w:numPr>
        <w:spacing w:after="40" w:before="0" w:line="276"/>
      </w:pPr>
      <w:r>
        <w:rPr>
          <w:rFonts w:ascii="Arial" w:cs="Arial" w:eastAsia="Arial" w:hAnsi="Arial"/>
          <w:color w:val="000000"/>
          <w:sz w:val="19"/>
          <w:szCs w:val="19"/>
        </w:rPr>
        <w:t xml:space="preserve">ISO 9606-1, ISO 15614-1, ISO 5817, ISO 2808, ISO 2409, ASTM D5402 (se citan, no se transcriben)</w:t>
      </w:r>
    </w:p>
    <w:p>
      <w:pPr>
        <w:pStyle w:val="ListParagraph"/>
        <w:numPr>
          <w:ilvl w:val="0"/>
          <w:numId w:val="2"/>
        </w:numPr>
        <w:spacing w:after="40" w:before="0" w:line="276"/>
      </w:pPr>
      <w:r>
        <w:rPr>
          <w:rFonts w:ascii="Arial" w:cs="Arial" w:eastAsia="Arial" w:hAnsi="Arial"/>
          <w:color w:val="000000"/>
          <w:sz w:val="19"/>
          <w:szCs w:val="19"/>
        </w:rPr>
        <w:t xml:space="preserve">Planos FL_MAT (hoja 4, R7) y FL_REC (hoja 3, R3) con el marcado en el cuerpo</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Trazabilidad interna FLAMA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2"/>
      </w:pBd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3"/>
      <w:szCs w:val="23"/>
    </w:rPr>
  </w:style>
  <w:style w:type="paragraph" w:styleId="Heading3">
    <w:name w:val="Heading 3"/>
    <w:basedOn w:val="Normal"/>
    <w:next w:val="Normal"/>
    <w:qFormat/>
    <w:pPr>
      <w:outlineLvl w:val="2"/>
    </w:pPr>
    <w:rPr>
      <w:rFonts w:ascii="Arial" w:cs="Arial" w:eastAsia="Arial" w:hAnsi="Arial"/>
      <w:b/>
      <w:bCs/>
      <w:color w:val="595959"/>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dd3b57c45ee48693629e16143e918b998045947.png"/><Relationship Id="rId9" Type="http://schemas.openxmlformats.org/officeDocument/2006/relationships/image" Target="media/e6fa98458e682070a8452d5efe03517fee16fa07.png"/><Relationship Id="rId10" Type="http://schemas.openxmlformats.org/officeDocument/2006/relationships/image" Target="media/0b2fa1b9edb70532251ef719e1455e11034b04f5.png"/><Relationship Id="rId11" Type="http://schemas.openxmlformats.org/officeDocument/2006/relationships/image" Target="media/6ee41a2836c5e2c924eab8d87af15ce2f8e4dd2e.png"/><Relationship Id="rId12" Type="http://schemas.openxmlformats.org/officeDocument/2006/relationships/image" Target="media/c889fbc422d98b017028e49f9af687a1b60c1987.png"/><Relationship Id="rId13" Type="http://schemas.openxmlformats.org/officeDocument/2006/relationships/image" Target="media/6f5a688e63cbc454f723ad651da864c67eef81ef.png"/><Relationship Id="rId14" Type="http://schemas.openxmlformats.org/officeDocument/2006/relationships/image" Target="media/34c01ef9e0c6b19a35e5fa2d61fd0dd45f714c44.png"/><Relationship Id="rId15" Type="http://schemas.openxmlformats.org/officeDocument/2006/relationships/image" Target="media/641b0ee043ece4cf4205ef93b419a7bcae7502d7.png"/><Relationship Id="rId16" Type="http://schemas.openxmlformats.org/officeDocument/2006/relationships/image" Target="media/2e02e1f90717998143e657d3325d518a719d0cfb.png"/><Relationship Id="rId17" Type="http://schemas.openxmlformats.org/officeDocument/2006/relationships/image" Target="media/fc69140b2aad0d31c6d140ee6235e275c5ea886f.png"/><Relationship Id="rId18" Type="http://schemas.openxmlformats.org/officeDocument/2006/relationships/image" Target="media/ffe02a374b08675669b154511bc0137b7f1942cc.png"/><Relationship Id="rId19" Type="http://schemas.openxmlformats.org/officeDocument/2006/relationships/image" Target="media/bfcf3f882ea03bfa2dac1fc0d41154860497885b.png"/><Relationship Id="rId20" Type="http://schemas.openxmlformats.org/officeDocument/2006/relationships/image" Target="media/170aebd81cdb7889680f5375738215537725a206.png"/><Relationship Id="rId21" Type="http://schemas.openxmlformats.org/officeDocument/2006/relationships/image" Target="media/57a33b79bde3023154856cc9f74b1c43b07f8fc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Trazabilidad interna FLAMA</dc:title>
  <dc:creator>FLAMA</dc:creator>
  <cp:lastModifiedBy>Un-named</cp:lastModifiedBy>
  <cp:revision>1</cp:revision>
  <dcterms:created xsi:type="dcterms:W3CDTF">2026-10-23T23:53:01.267Z</dcterms:created>
  <dcterms:modified xsi:type="dcterms:W3CDTF">2026-10-23T23:53:01.267Z</dcterms:modified>
</cp:coreProperties>
</file>

<file path=docProps/custom.xml><?xml version="1.0" encoding="utf-8"?>
<Properties xmlns="http://schemas.openxmlformats.org/officeDocument/2006/custom-properties" xmlns:vt="http://schemas.openxmlformats.org/officeDocument/2006/docPropsVTypes"/>
</file>