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276"/>
      </w:pPr>
      <w:r>
        <w:rPr>
          <w:rFonts w:ascii="Arial" w:cs="Arial" w:eastAsia="Arial" w:hAnsi="Arial"/>
          <w:b/>
          <w:bCs/>
          <w:color w:val="000000"/>
          <w:sz w:val="36"/>
          <w:szCs w:val="36"/>
        </w:rPr>
        <w:t xml:space="preserve">Sistema de trazabilidad FLAMA</w:t>
      </w:r>
    </w:p>
    <w:p>
      <w:pPr>
        <w:spacing w:after="60" w:before="0" w:line="276"/>
      </w:pPr>
      <w:r>
        <w:rPr>
          <w:rFonts w:ascii="Arial" w:cs="Arial" w:eastAsia="Arial" w:hAnsi="Arial"/>
          <w:color w:val="595959"/>
          <w:sz w:val="20"/>
          <w:szCs w:val="20"/>
        </w:rPr>
        <w:t xml:space="preserve">Marcado del recipiente, trazabilidad en planta y fuera de ella, recarga, retorno, inutilización y revendidos · versión 2</w:t>
      </w:r>
    </w:p>
    <w:p>
      <w:pPr>
        <w:spacing w:after="100" w:before="0" w:line="276"/>
      </w:pPr>
      <w:r>
        <w:rPr>
          <w:rFonts w:ascii="Arial" w:cs="Arial" w:eastAsia="Arial" w:hAnsi="Arial"/>
          <w:color w:val="000000"/>
          <w:sz w:val="19"/>
          <w:szCs w:val="19"/>
        </w:rPr>
        <w:t xml:space="preserve">Un número por recipiente, grabado en el cuerpo cuando se corta la chapa, que no se pierde nunca. Todo lo demás (etiqueta, QR, app, legajo) cuelga de ese número. Las normas se citan por cláusula, sin transcribirlas; donde un valor es una decisión de diseño y no un requisito se marca </w:t>
      </w:r>
      <w:r>
        <w:rPr>
          <w:rFonts w:ascii="Arial" w:cs="Arial" w:eastAsia="Arial" w:hAnsi="Arial"/>
          <w:b/>
          <w:bCs/>
          <w:color w:val="000000"/>
          <w:sz w:val="19"/>
          <w:szCs w:val="19"/>
        </w:rPr>
        <w:t xml:space="preserve">criterio</w:t>
      </w:r>
      <w:r>
        <w:rPr>
          <w:rFonts w:ascii="Arial" w:cs="Arial" w:eastAsia="Arial" w:hAnsi="Arial"/>
          <w:color w:val="000000"/>
          <w:sz w:val="19"/>
          <w:szCs w:val="19"/>
        </w:rPr>
        <w:t xml:space="preserve">. Las medidas de los cuerpos, la etiqueta, la oblea, los sellos, los triángulos del eje y la faja salen del modelo 3D de los planos (trazabilidad/cuerpos.json).</w:t>
      </w:r>
    </w:p>
    <w:p>
      <w:pPr>
        <w:pStyle w:val="Heading1"/>
        <w:keepNext/>
        <w:spacing w:after="120" w:before="240" w:line="276"/>
      </w:pPr>
      <w:r>
        <w:rPr>
          <w:rFonts w:ascii="Arial" w:cs="Arial" w:eastAsia="Arial" w:hAnsi="Arial"/>
          <w:color w:val="000000"/>
          <w:sz w:val="19"/>
          <w:szCs w:val="19"/>
        </w:rPr>
        <w:t xml:space="preserve">0. Respuestas directas</w:t>
      </w:r>
    </w:p>
    <w:p>
      <w:pPr>
        <w:pStyle w:val="Heading2"/>
        <w:keepNext/>
        <w:spacing w:after="80" w:before="180" w:line="276"/>
      </w:pPr>
      <w:r>
        <w:rPr>
          <w:rFonts w:ascii="Arial" w:cs="Arial" w:eastAsia="Arial" w:hAnsi="Arial"/>
          <w:color w:val="000000"/>
          <w:sz w:val="19"/>
          <w:szCs w:val="19"/>
        </w:rPr>
        <w:t xml:space="preserve">0.1 ¿La faja del sustituto tapa el grabado?</w:t>
      </w:r>
    </w:p>
    <w:p>
      <w:pPr>
        <w:spacing w:after="100" w:before="0" w:line="276"/>
      </w:pPr>
      <w:r>
        <w:rPr>
          <w:rFonts w:ascii="Arial" w:cs="Arial" w:eastAsia="Arial" w:hAnsi="Arial"/>
          <w:b/>
          <w:bCs/>
          <w:color w:val="000000"/>
          <w:sz w:val="19"/>
          <w:szCs w:val="19"/>
        </w:rPr>
        <w:t xml:space="preserve">Sí, con el plano actual la tapaba.</w:t>
      </w:r>
      <w:r>
        <w:rPr>
          <w:rFonts w:ascii="Arial" w:cs="Arial" w:eastAsia="Arial" w:hAnsi="Arial"/>
          <w:color w:val="000000"/>
          <w:sz w:val="19"/>
          <w:szCs w:val="19"/>
        </w:rPr>
        <w:t xml:space="preserve"> El plano FL_SUS pone una faja amarilla de hasta 40 mm desde el borde inferior que rodea todo el perímetro (con 20 mm de solape), y la franja grabada de los manuales va justamente en la pollera. Lo mismo pasaría con la faja verde de los equipos de reserva.</w:t>
      </w:r>
    </w:p>
    <w:p>
      <w:pPr>
        <w:spacing w:after="100" w:before="0" w:line="276"/>
      </w:pPr>
      <w:r>
        <w:rPr>
          <w:rFonts w:ascii="Arial" w:cs="Arial" w:eastAsia="Arial" w:hAnsi="Arial"/>
          <w:color w:val="000000"/>
          <w:sz w:val="19"/>
          <w:szCs w:val="19"/>
        </w:rPr>
        <w:t xml:space="preserve">Qué dice la norma: la faja de sustituto va «en su borde inferior o pollera», con una altura máxima de 40 mm y tres leyendas (IRAM 3517-2 9.4.5 b); la de reserva, en el mismo lugar y «evitando tapar los datos grabados» (5.3). Ninguna de las dos exige que la faja dé la vuelta completa. Entonces:</w:t>
      </w:r>
    </w:p>
    <w:p>
      <w:pPr>
        <w:pStyle w:val="ListParagraph"/>
        <w:numPr>
          <w:ilvl w:val="0"/>
          <w:numId w:val="2"/>
        </w:numPr>
        <w:spacing w:after="40" w:before="0" w:line="276"/>
      </w:pPr>
      <w:r>
        <w:rPr>
          <w:rFonts w:ascii="Arial" w:cs="Arial" w:eastAsia="Arial" w:hAnsi="Arial"/>
          <w:b/>
          <w:bCs/>
          <w:color w:val="000000"/>
          <w:sz w:val="19"/>
          <w:szCs w:val="19"/>
        </w:rPr>
        <w:t xml:space="preserve">Manuales:</w:t>
      </w:r>
      <w:r>
        <w:rPr>
          <w:rFonts w:ascii="Arial" w:cs="Arial" w:eastAsia="Arial" w:hAnsi="Arial"/>
          <w:color w:val="000000"/>
          <w:sz w:val="19"/>
          <w:szCs w:val="19"/>
        </w:rPr>
        <w:t xml:space="preserve"> la franja se graba del lado opuesto a la costura (ver 1.3) y la faja pasa a ser </w:t>
      </w:r>
      <w:r>
        <w:rPr>
          <w:rFonts w:ascii="Arial" w:cs="Arial" w:eastAsia="Arial" w:hAnsi="Arial"/>
          <w:b/>
          <w:bCs/>
          <w:color w:val="000000"/>
          <w:sz w:val="19"/>
          <w:szCs w:val="19"/>
        </w:rPr>
        <w:t xml:space="preserve">abierta</w:t>
      </w:r>
      <w:r>
        <w:rPr>
          <w:rFonts w:ascii="Arial" w:cs="Arial" w:eastAsia="Arial" w:hAnsi="Arial"/>
          <w:color w:val="000000"/>
          <w:sz w:val="19"/>
          <w:szCs w:val="19"/>
        </w:rPr>
        <w:t xml:space="preserve"> (en C): arranca y termina 5 mm antes de cada punta de la franja (</w:t>
      </w:r>
      <w:r>
        <w:rPr>
          <w:rFonts w:ascii="Arial" w:cs="Arial" w:eastAsia="Arial" w:hAnsi="Arial"/>
          <w:b/>
          <w:bCs/>
          <w:color w:val="000000"/>
          <w:sz w:val="19"/>
          <w:szCs w:val="19"/>
        </w:rPr>
        <w:t xml:space="preserve">criterio</w:t>
      </w:r>
      <w:r>
        <w:rPr>
          <w:rFonts w:ascii="Arial" w:cs="Arial" w:eastAsia="Arial" w:hAnsi="Arial"/>
          <w:color w:val="000000"/>
          <w:sz w:val="19"/>
          <w:szCs w:val="19"/>
        </w:rPr>
        <w:t xml:space="preserve">). Las leyendas quedan del lado de la etiqueta, que es el que se ve.</w:t>
      </w:r>
    </w:p>
    <w:p>
      <w:pPr>
        <w:pStyle w:val="ListParagraph"/>
        <w:numPr>
          <w:ilvl w:val="0"/>
          <w:numId w:val="2"/>
        </w:numPr>
        <w:spacing w:after="40" w:before="0" w:line="276"/>
      </w:pPr>
      <w:r>
        <w:rPr>
          <w:rFonts w:ascii="Arial" w:cs="Arial" w:eastAsia="Arial" w:hAnsi="Arial"/>
          <w:b/>
          <w:bCs/>
          <w:color w:val="000000"/>
          <w:sz w:val="19"/>
          <w:szCs w:val="19"/>
        </w:rPr>
        <w:t xml:space="preserve">Carros:</w:t>
      </w:r>
      <w:r>
        <w:rPr>
          <w:rFonts w:ascii="Arial" w:cs="Arial" w:eastAsia="Arial" w:hAnsi="Arial"/>
          <w:color w:val="000000"/>
          <w:sz w:val="19"/>
          <w:szCs w:val="19"/>
        </w:rPr>
        <w:t xml:space="preserve"> la franja sube por encima de los triángulos del eje; la faja queda abajo, abierta entre los dos triángulos (hoy los cruza: están soldados de 20 mm hacia arriba). No se tocan.</w:t>
      </w:r>
    </w:p>
    <w:p>
      <w:pPr>
        <w:pStyle w:val="ListParagraph"/>
        <w:numPr>
          <w:ilvl w:val="0"/>
          <w:numId w:val="2"/>
        </w:numPr>
        <w:spacing w:after="40" w:before="0" w:line="276"/>
      </w:pPr>
      <w:r>
        <w:rPr>
          <w:rFonts w:ascii="Arial" w:cs="Arial" w:eastAsia="Arial" w:hAnsi="Arial"/>
          <w:b/>
          <w:bCs/>
          <w:color w:val="000000"/>
          <w:sz w:val="19"/>
          <w:szCs w:val="19"/>
        </w:rPr>
        <w:t xml:space="preserve">Hallazgo de paso:</w:t>
      </w:r>
      <w:r>
        <w:rPr>
          <w:rFonts w:ascii="Arial" w:cs="Arial" w:eastAsia="Arial" w:hAnsi="Arial"/>
          <w:color w:val="000000"/>
          <w:sz w:val="19"/>
          <w:szCs w:val="19"/>
        </w:rPr>
        <w:t xml:space="preserve"> en el 2,5 kg la faja actual (30,4 mm) pisa 6 mm la tarjeta AGC, que arranca a 24,4 mm del borde. Con la faja abierta se baja a 21 mm (≤ 40, cumple).</w:t>
      </w:r>
    </w:p>
    <w:p>
      <w:pPr>
        <w:keepNext/>
        <w:spacing w:after="60"/>
        <w:jc w:val="center"/>
      </w:pPr>
      <w:r>
        <w:drawing>
          <wp:inline distT="0" distB="0" distL="0" distR="0">
            <wp:extent cx="59436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43600" cy="22574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5 kg desarrollado: a la izquierda el plano actual (la faja tapa la franja), a la derecha la faja abierta.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57"/>
        <w:gridCol w:w="2331"/>
        <w:gridCol w:w="2331"/>
        <w:gridCol w:w="3787"/>
      </w:tblGrid>
      <w:tr>
        <w:trPr>
          <w:cantSplit/>
          <w:tblHeader/>
        </w:trPr>
        <w:tc>
          <w:tcPr>
            <w:tcW w:type="dxa" w:w="145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Modelo</w:t>
            </w:r>
          </w:p>
        </w:tc>
        <w:tc>
          <w:tcPr>
            <w:tcW w:type="dxa" w:w="233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Faja hoy (alto × largo)</w:t>
            </w:r>
          </w:p>
        </w:tc>
        <w:tc>
          <w:tcPr>
            <w:tcW w:type="dxa" w:w="233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Faja propuesta (alto × largo)</w:t>
            </w:r>
          </w:p>
        </w:tc>
        <w:tc>
          <w:tcPr>
            <w:tcW w:type="dxa" w:w="378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Dónde queda abierta</w:t>
            </w:r>
          </w:p>
        </w:tc>
      </w:tr>
      <w:tr>
        <w:trPr>
          <w:cantSplit/>
        </w:trPr>
        <w:tc>
          <w:tcPr>
            <w:tcW w:type="dxa" w:w="14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kg</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35,9 × 259</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35 × 139</w:t>
            </w:r>
          </w:p>
        </w:tc>
        <w:tc>
          <w:tcPr>
            <w:tcW w:type="dxa" w:w="37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sobre la franja: 100 mm del lado opuesto a la costura</w:t>
            </w:r>
          </w:p>
        </w:tc>
      </w:tr>
      <w:tr>
        <w:trPr>
          <w:cantSplit/>
        </w:trPr>
        <w:tc>
          <w:tcPr>
            <w:tcW w:type="dxa" w:w="14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30,4 × 410</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21 × 250</w:t>
            </w:r>
          </w:p>
        </w:tc>
        <w:tc>
          <w:tcPr>
            <w:tcW w:type="dxa" w:w="37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sobre la franja: 140 mm del lado opuesto a la costura</w:t>
            </w:r>
          </w:p>
        </w:tc>
      </w:tr>
      <w:tr>
        <w:trPr>
          <w:cantSplit/>
        </w:trPr>
        <w:tc>
          <w:tcPr>
            <w:tcW w:type="dxa" w:w="14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kg</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40 × 501</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40 × 341</w:t>
            </w:r>
          </w:p>
        </w:tc>
        <w:tc>
          <w:tcPr>
            <w:tcW w:type="dxa" w:w="37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sobre la franja: 140 mm del lado opuesto a la costura</w:t>
            </w:r>
          </w:p>
        </w:tc>
      </w:tr>
      <w:tr>
        <w:trPr>
          <w:cantSplit/>
        </w:trPr>
        <w:tc>
          <w:tcPr>
            <w:tcW w:type="dxa" w:w="14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 kg</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40 × 590</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40 × 430</w:t>
            </w:r>
          </w:p>
        </w:tc>
        <w:tc>
          <w:tcPr>
            <w:tcW w:type="dxa" w:w="37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sobre la franja: 140 mm del lado opuesto a la costura</w:t>
            </w:r>
          </w:p>
        </w:tc>
      </w:tr>
      <w:tr>
        <w:trPr>
          <w:cantSplit/>
        </w:trPr>
        <w:tc>
          <w:tcPr>
            <w:tcW w:type="dxa" w:w="14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40 × 889</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40 × 723</w:t>
            </w:r>
          </w:p>
        </w:tc>
        <w:tc>
          <w:tcPr>
            <w:tcW w:type="dxa" w:w="37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entre los triángulos del eje (lado costura)</w:t>
            </w:r>
          </w:p>
        </w:tc>
      </w:tr>
      <w:tr>
        <w:trPr>
          <w:cantSplit/>
        </w:trPr>
        <w:tc>
          <w:tcPr>
            <w:tcW w:type="dxa" w:w="14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50 kg</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40 × 1025</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40 × 829</w:t>
            </w:r>
          </w:p>
        </w:tc>
        <w:tc>
          <w:tcPr>
            <w:tcW w:type="dxa" w:w="37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entre los triángulos del eje (lado costura)</w:t>
            </w:r>
          </w:p>
        </w:tc>
      </w:tr>
      <w:tr>
        <w:trPr>
          <w:cantSplit/>
        </w:trPr>
        <w:tc>
          <w:tcPr>
            <w:tcW w:type="dxa" w:w="14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70 kg</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40 × 1245</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40 × 1003</w:t>
            </w:r>
          </w:p>
        </w:tc>
        <w:tc>
          <w:tcPr>
            <w:tcW w:type="dxa" w:w="37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entre los triángulos del eje (lado costura)</w:t>
            </w:r>
          </w:p>
        </w:tc>
      </w:tr>
      <w:tr>
        <w:trPr>
          <w:cantSplit/>
        </w:trPr>
        <w:tc>
          <w:tcPr>
            <w:tcW w:type="dxa" w:w="14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kg</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40 × 1245</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40 × 1003</w:t>
            </w:r>
          </w:p>
        </w:tc>
        <w:tc>
          <w:tcPr>
            <w:tcW w:type="dxa" w:w="37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entre los triángulos del eje (lado costura)</w:t>
            </w:r>
          </w:p>
        </w:tc>
      </w:tr>
    </w:tbl>
    <w:p>
      <w:pPr>
        <w:spacing w:after="120"/>
      </w:pPr>
    </w:p>
    <w:p>
      <w:pPr>
        <w:spacing w:after="100" w:before="0" w:line="276"/>
      </w:pPr>
      <w:r>
        <w:rPr>
          <w:rFonts w:ascii="Arial" w:cs="Arial" w:eastAsia="Arial" w:hAnsi="Arial"/>
          <w:color w:val="000000"/>
          <w:sz w:val="19"/>
          <w:szCs w:val="19"/>
        </w:rPr>
        <w:t xml:space="preserve">Cambia el largo de la faja en el BOM (ítem FAJA-SUS) y en los planos FL_SUS; la faja verde de reserva lleva las mismas medidas.</w:t>
      </w:r>
    </w:p>
    <w:p>
      <w:pPr>
        <w:pStyle w:val="Heading2"/>
        <w:keepNext/>
        <w:spacing w:after="80" w:before="180" w:line="276"/>
      </w:pPr>
      <w:r>
        <w:rPr>
          <w:rFonts w:ascii="Arial" w:cs="Arial" w:eastAsia="Arial" w:hAnsi="Arial"/>
          <w:color w:val="000000"/>
          <w:sz w:val="19"/>
          <w:szCs w:val="19"/>
        </w:rPr>
        <w:t xml:space="preserve">0.2 ¿Cómo se hace con los revendidos que no vienen grabados?</w:t>
      </w:r>
    </w:p>
    <w:p>
      <w:pPr>
        <w:spacing w:after="100" w:before="0" w:line="276"/>
      </w:pPr>
      <w:r>
        <w:rPr>
          <w:rFonts w:ascii="Arial" w:cs="Arial" w:eastAsia="Arial" w:hAnsi="Arial"/>
          <w:color w:val="000000"/>
          <w:sz w:val="19"/>
          <w:szCs w:val="19"/>
        </w:rPr>
        <w:t xml:space="preserve">Primero, lo que dice la norma: el revendido </w:t>
      </w:r>
      <w:r>
        <w:rPr>
          <w:rFonts w:ascii="Arial" w:cs="Arial" w:eastAsia="Arial" w:hAnsi="Arial"/>
          <w:b/>
          <w:bCs/>
          <w:color w:val="000000"/>
          <w:sz w:val="19"/>
          <w:szCs w:val="19"/>
        </w:rPr>
        <w:t xml:space="preserve">tiene que venir grabado por su fabricante</w:t>
      </w:r>
      <w:r>
        <w:rPr>
          <w:rFonts w:ascii="Arial" w:cs="Arial" w:eastAsia="Arial" w:hAnsi="Arial"/>
          <w:color w:val="000000"/>
          <w:sz w:val="19"/>
          <w:szCs w:val="19"/>
        </w:rPr>
        <w:t xml:space="preserve">. Las normas de producto que pude leer lo exigen igual que para los propios: fabricante, número de recipiente y año, en el recipiente o en un accesorio fijo (IRAM 3523 5.1 para BC y Clase D; IRAM 3525 5.1 para agua). Los cilindros de CO₂ llevan el estampado de su fabricante (IRAM 2533). Las IRAM 3527, 3541, 3694 y 3504 están escaneadas sin texto: hay que confirmar la cláusula de marcado, pero la estructura de estas normas es la misma.</w:t>
      </w:r>
    </w:p>
    <w:p>
      <w:pPr>
        <w:spacing w:after="100" w:before="0" w:line="276"/>
      </w:pPr>
      <w:r>
        <w:rPr>
          <w:rFonts w:ascii="Arial" w:cs="Arial" w:eastAsia="Arial" w:hAnsi="Arial"/>
          <w:color w:val="000000"/>
          <w:sz w:val="19"/>
          <w:szCs w:val="19"/>
        </w:rPr>
        <w:t xml:space="preserve">Segundo, por qué no se puede aceptar uno sin grabado: un extintor sin fecha de fabricación o sin número de serie </w:t>
      </w:r>
      <w:r>
        <w:rPr>
          <w:rFonts w:ascii="Arial" w:cs="Arial" w:eastAsia="Arial" w:hAnsi="Arial"/>
          <w:b/>
          <w:bCs/>
          <w:color w:val="000000"/>
          <w:sz w:val="19"/>
          <w:szCs w:val="19"/>
        </w:rPr>
        <w:t xml:space="preserve">no se puede instalar, mantener ni recargar</w:t>
      </w:r>
      <w:r>
        <w:rPr>
          <w:rFonts w:ascii="Arial" w:cs="Arial" w:eastAsia="Arial" w:hAnsi="Arial"/>
          <w:color w:val="000000"/>
          <w:sz w:val="19"/>
          <w:szCs w:val="19"/>
        </w:rPr>
        <w:t xml:space="preserve"> y se considera obsoleto (IRAM 3517-2 9.11; anexo F, recipiente: «fecha de fabricación o n° de serie faltante o adulterado → inutilizar»). Además, la etiqueta de cada servicio tiene que llevar el número de serie del recipiente (9.4.14 b). Un revendido sin grabado se vendería con un año de vida, hasta su primera recarga.</w:t>
      </w:r>
    </w:p>
    <w:p>
      <w:pPr>
        <w:spacing w:after="100" w:before="0" w:line="276"/>
      </w:pPr>
      <w:r>
        <w:rPr>
          <w:rFonts w:ascii="Arial" w:cs="Arial" w:eastAsia="Arial" w:hAnsi="Arial"/>
          <w:color w:val="000000"/>
          <w:sz w:val="19"/>
          <w:szCs w:val="19"/>
        </w:rPr>
        <w:t xml:space="preserve">Tercero, por qué FLAMA no lo graba: grabaría «FLAMA S.A.» como fabricante en un recipiente que no fabricó, estamparía una pared a presión que ya pasó la prueba hidráulica de otro fabricante sin volver a probarla, y el sello IRAM es del fabricante, no de FLAMA. Por eso el revendido se identifica con </w:t>
      </w:r>
      <w:r>
        <w:rPr>
          <w:rFonts w:ascii="Arial" w:cs="Arial" w:eastAsia="Arial" w:hAnsi="Arial"/>
          <w:b/>
          <w:bCs/>
          <w:color w:val="000000"/>
          <w:sz w:val="19"/>
          <w:szCs w:val="19"/>
        </w:rPr>
        <w:t xml:space="preserve">su</w:t>
      </w:r>
      <w:r>
        <w:rPr>
          <w:rFonts w:ascii="Arial" w:cs="Arial" w:eastAsia="Arial" w:hAnsi="Arial"/>
          <w:color w:val="000000"/>
          <w:sz w:val="19"/>
          <w:szCs w:val="19"/>
        </w:rPr>
        <w:t xml:space="preserve"> grabado más una etiqueta FLAMA con QR. El detalle está en la sección 6.</w:t>
      </w:r>
    </w:p>
    <w:p>
      <w:pPr>
        <w:pStyle w:val="Heading2"/>
        <w:keepNext/>
        <w:spacing w:after="80" w:before="180" w:line="276"/>
      </w:pPr>
      <w:r>
        <w:rPr>
          <w:rFonts w:ascii="Arial" w:cs="Arial" w:eastAsia="Arial" w:hAnsi="Arial"/>
          <w:color w:val="000000"/>
          <w:sz w:val="19"/>
          <w:szCs w:val="19"/>
        </w:rPr>
        <w:t xml:space="preserve">0.3 Qué cambió respecto de la versión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39"/>
        <w:gridCol w:w="2622"/>
        <w:gridCol w:w="5245"/>
      </w:tblGrid>
      <w:tr>
        <w:trPr>
          <w:cantSplit/>
          <w:tblHeader/>
        </w:trPr>
        <w:tc>
          <w:tcPr>
            <w:tcW w:type="dxa" w:w="203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Tema</w:t>
            </w:r>
          </w:p>
        </w:tc>
        <w:tc>
          <w:tcPr>
            <w:tcW w:type="dxa" w:w="262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Versión 1</w:t>
            </w:r>
          </w:p>
        </w:tc>
        <w:tc>
          <w:tcPr>
            <w:tcW w:type="dxa" w:w="524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Versión 2 (con las medidas del modelo 3D)</w:t>
            </w:r>
          </w:p>
        </w:tc>
      </w:tr>
      <w:tr>
        <w:trPr>
          <w:cantSplit/>
        </w:trPr>
        <w:tc>
          <w:tcPr>
            <w:tcW w:type="dxa" w:w="203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de la franja (manuales)</w:t>
            </w:r>
          </w:p>
        </w:tc>
        <w:tc>
          <w:tcPr>
            <w:tcW w:type="dxa" w:w="262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«adelante, a 180° de la costura, bajo la etiqueta»</w:t>
            </w:r>
          </w:p>
        </w:tc>
        <w:tc>
          <w:tcPr>
            <w:tcW w:type="dxa" w:w="52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 los planos la etiqueta envuelve la costura (están del mismo lado). La franja va del lado opuesto, bajo el QR de serie: queda contra la pared, protegida, y se lee al descolgarlo</w:t>
            </w:r>
          </w:p>
        </w:tc>
      </w:tr>
      <w:tr>
        <w:trPr>
          <w:cantSplit/>
        </w:trPr>
        <w:tc>
          <w:tcPr>
            <w:tcW w:type="dxa" w:w="203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Altura de la franja (carros)</w:t>
            </w:r>
          </w:p>
        </w:tc>
        <w:tc>
          <w:tcPr>
            <w:tcW w:type="dxa" w:w="262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35 a 49 mm</w:t>
            </w:r>
          </w:p>
        </w:tc>
        <w:tc>
          <w:tcPr>
            <w:tcW w:type="dxa" w:w="52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Encima de los triángulos del eje: de 95 a 138 mm según el modelo (a 35 mm quedaba detrás de los triángulos)</w:t>
            </w:r>
          </w:p>
        </w:tc>
      </w:tr>
      <w:tr>
        <w:trPr>
          <w:cantSplit/>
        </w:trPr>
        <w:tc>
          <w:tcPr>
            <w:tcW w:type="dxa" w:w="203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Faja de sustituto y reserva</w:t>
            </w:r>
          </w:p>
        </w:tc>
        <w:tc>
          <w:tcPr>
            <w:tcW w:type="dxa" w:w="262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 se trataba</w:t>
            </w:r>
          </w:p>
        </w:tc>
        <w:tc>
          <w:tcPr>
            <w:tcW w:type="dxa" w:w="52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Abierta, con medidas por modelo (0.1)</w:t>
            </w:r>
          </w:p>
        </w:tc>
      </w:tr>
      <w:tr>
        <w:trPr>
          <w:cantSplit/>
        </w:trPr>
        <w:tc>
          <w:tcPr>
            <w:tcW w:type="dxa" w:w="203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Revendidos</w:t>
            </w:r>
          </w:p>
        </w:tc>
        <w:tc>
          <w:tcPr>
            <w:tcW w:type="dxa" w:w="262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en la recepción»</w:t>
            </w:r>
          </w:p>
        </w:tc>
        <w:tc>
          <w:tcPr>
            <w:tcW w:type="dxa" w:w="52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Procedimiento completo y regla de rechazo (sección 6)</w:t>
            </w:r>
          </w:p>
        </w:tc>
      </w:tr>
      <w:tr>
        <w:trPr>
          <w:cantSplit/>
        </w:trPr>
        <w:tc>
          <w:tcPr>
            <w:tcW w:type="dxa" w:w="203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Detalle por puesto</w:t>
            </w:r>
          </w:p>
        </w:tc>
        <w:tc>
          <w:tcPr>
            <w:tcW w:type="dxa" w:w="262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una línea por puesto</w:t>
            </w:r>
          </w:p>
        </w:tc>
        <w:tc>
          <w:tcPr>
            <w:tcW w:type="dxa" w:w="52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Ficha completa por puesto con valor, regla y fuente (sección 2)</w:t>
            </w:r>
          </w:p>
        </w:tc>
      </w:tr>
    </w:tbl>
    <w:p>
      <w:pPr>
        <w:spacing w:after="120"/>
      </w:pPr>
    </w:p>
    <w:p>
      <w:pPr>
        <w:pStyle w:val="Heading1"/>
        <w:keepNext/>
        <w:spacing w:after="120" w:before="240" w:line="276"/>
      </w:pPr>
      <w:r>
        <w:rPr>
          <w:rFonts w:ascii="Arial" w:cs="Arial" w:eastAsia="Arial" w:hAnsi="Arial"/>
          <w:color w:val="000000"/>
          <w:sz w:val="19"/>
          <w:szCs w:val="19"/>
        </w:rPr>
        <w:t xml:space="preserve">1. Marcado: forma, lugar y profundidad por modelo</w:t>
      </w:r>
    </w:p>
    <w:p>
      <w:pPr>
        <w:pStyle w:val="Heading2"/>
        <w:keepNext/>
        <w:spacing w:after="80" w:before="180" w:line="276"/>
      </w:pPr>
      <w:r>
        <w:rPr>
          <w:rFonts w:ascii="Arial" w:cs="Arial" w:eastAsia="Arial" w:hAnsi="Arial"/>
          <w:color w:val="000000"/>
          <w:sz w:val="19"/>
          <w:szCs w:val="19"/>
        </w:rPr>
        <w:t xml:space="preserve">1.1 Qué pide la norma y cómo se cumple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203"/>
        <w:gridCol w:w="2401"/>
        <w:gridCol w:w="3302"/>
      </w:tblGrid>
      <w:tr>
        <w:trPr>
          <w:cantSplit/>
          <w:tblHeader/>
        </w:trPr>
        <w:tc>
          <w:tcPr>
            <w:tcW w:type="dxa" w:w="420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Requisito</w:t>
            </w:r>
          </w:p>
        </w:tc>
        <w:tc>
          <w:tcPr>
            <w:tcW w:type="dxa" w:w="240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Fuente</w:t>
            </w:r>
          </w:p>
        </w:tc>
        <w:tc>
          <w:tcPr>
            <w:tcW w:type="dxa" w:w="330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Cómo se cumple</w:t>
            </w:r>
          </w:p>
        </w:tc>
      </w:tr>
      <w:tr>
        <w:trPr>
          <w:cantSplit/>
        </w:trPr>
        <w:tc>
          <w:tcPr>
            <w:tcW w:type="dxa" w:w="420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Grabar fabricante, n° de recipiente y año (2 dígitos), en el recipiente o en un accesorio fijo; ±3 meses en el cambio de año</w:t>
            </w:r>
          </w:p>
        </w:tc>
        <w:tc>
          <w:tcPr>
            <w:tcW w:type="dxa" w:w="24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3523 5.1 (manuales); IRAM 3550 5.1 (carros)</w:t>
            </w:r>
          </w:p>
        </w:tc>
        <w:tc>
          <w:tcPr>
            <w:tcW w:type="dxa" w:w="330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Texto de 5 mm en la franja</w:t>
            </w:r>
          </w:p>
        </w:tc>
      </w:tr>
      <w:tr>
        <w:trPr>
          <w:cantSplit/>
        </w:trPr>
        <w:tc>
          <w:tcPr>
            <w:tcW w:type="dxa" w:w="420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Carros: además la presión de ensayo</w:t>
            </w:r>
          </w:p>
        </w:tc>
        <w:tc>
          <w:tcPr>
            <w:tcW w:type="dxa" w:w="24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3550 5.1</w:t>
            </w:r>
          </w:p>
        </w:tc>
        <w:tc>
          <w:tcPr>
            <w:tcW w:type="dxa" w:w="330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«PE 4,0 MPa» en la primera línea</w:t>
            </w:r>
          </w:p>
        </w:tc>
      </w:tr>
      <w:tr>
        <w:trPr>
          <w:cantSplit/>
        </w:trPr>
        <w:tc>
          <w:tcPr>
            <w:tcW w:type="dxa" w:w="420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Cuño DPS 1,5 × 0,7 cm al lado del n° de identificación, en la pollera u ojiva</w:t>
            </w:r>
          </w:p>
        </w:tc>
        <w:tc>
          <w:tcPr>
            <w:tcW w:type="dxa" w:w="24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 349/07 anexo IV</w:t>
            </w:r>
          </w:p>
        </w:tc>
        <w:tc>
          <w:tcPr>
            <w:tcW w:type="dxa" w:w="330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Cuño en el extremo derecho de la franja</w:t>
            </w:r>
          </w:p>
        </w:tc>
      </w:tr>
      <w:tr>
        <w:trPr>
          <w:cantSplit/>
        </w:trPr>
        <w:tc>
          <w:tcPr>
            <w:tcW w:type="dxa" w:w="420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 dañar la identificación</w:t>
            </w:r>
          </w:p>
        </w:tc>
        <w:tc>
          <w:tcPr>
            <w:tcW w:type="dxa" w:w="24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 349/07 art. 25 e)</w:t>
            </w:r>
          </w:p>
        </w:tc>
        <w:tc>
          <w:tcPr>
            <w:tcW w:type="dxa" w:w="330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Franja fuera de soldaduras; fajas abiertas</w:t>
            </w:r>
          </w:p>
        </w:tc>
      </w:tr>
      <w:tr>
        <w:trPr>
          <w:cantSplit/>
        </w:trPr>
        <w:tc>
          <w:tcPr>
            <w:tcW w:type="dxa" w:w="420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Faja de reserva / sustituto ≤ 40 mm en el borde inferior, sin tapar lo grabado</w:t>
            </w:r>
          </w:p>
        </w:tc>
        <w:tc>
          <w:tcPr>
            <w:tcW w:type="dxa" w:w="24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5.3 y 9.4.5 b)</w:t>
            </w:r>
          </w:p>
        </w:tc>
        <w:tc>
          <w:tcPr>
            <w:tcW w:type="dxa" w:w="330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Faja abierta sobre la franja (0.1)</w:t>
            </w:r>
          </w:p>
        </w:tc>
      </w:tr>
      <w:tr>
        <w:trPr>
          <w:cantSplit/>
        </w:trPr>
        <w:tc>
          <w:tcPr>
            <w:tcW w:type="dxa" w:w="420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 de recipiente en la placa, igual al grabado; mes y año de fabricación</w:t>
            </w:r>
          </w:p>
        </w:tc>
        <w:tc>
          <w:tcPr>
            <w:tcW w:type="dxa" w:w="24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3523 / 3550 5.2.4</w:t>
            </w:r>
          </w:p>
        </w:tc>
        <w:tc>
          <w:tcPr>
            <w:tcW w:type="dxa" w:w="330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etiqueta se imprime leyendo el grabado (compuerta del puesto 24)</w:t>
            </w:r>
          </w:p>
        </w:tc>
      </w:tr>
      <w:tr>
        <w:trPr>
          <w:cantSplit/>
        </w:trPr>
        <w:tc>
          <w:tcPr>
            <w:tcW w:type="dxa" w:w="420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Sistema informatizado de seguimiento y trazabilidad del recargador; registro de 6 años</w:t>
            </w:r>
          </w:p>
        </w:tc>
        <w:tc>
          <w:tcPr>
            <w:tcW w:type="dxa" w:w="24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4.x aa) y 9.4.16</w:t>
            </w:r>
          </w:p>
        </w:tc>
        <w:tc>
          <w:tcPr>
            <w:tcW w:type="dxa" w:w="330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Este sistema; los eventos no se borran</w:t>
            </w:r>
          </w:p>
        </w:tc>
      </w:tr>
    </w:tbl>
    <w:p>
      <w:pPr>
        <w:spacing w:after="120"/>
      </w:pPr>
    </w:p>
    <w:p>
      <w:pPr>
        <w:spacing w:after="100" w:before="0" w:line="276"/>
      </w:pPr>
      <w:r>
        <w:rPr>
          <w:rFonts w:ascii="Arial" w:cs="Arial" w:eastAsia="Arial" w:hAnsi="Arial"/>
          <w:color w:val="000000"/>
          <w:sz w:val="19"/>
          <w:szCs w:val="19"/>
        </w:rPr>
        <w:t xml:space="preserve">Lo que se </w:t>
      </w:r>
      <w:r>
        <w:rPr>
          <w:rFonts w:ascii="Arial" w:cs="Arial" w:eastAsia="Arial" w:hAnsi="Arial"/>
          <w:b/>
          <w:bCs/>
          <w:color w:val="000000"/>
          <w:sz w:val="19"/>
          <w:szCs w:val="19"/>
        </w:rPr>
        <w:t xml:space="preserve">suma</w:t>
      </w:r>
      <w:r>
        <w:rPr>
          <w:rFonts w:ascii="Arial" w:cs="Arial" w:eastAsia="Arial" w:hAnsi="Arial"/>
          <w:color w:val="000000"/>
          <w:sz w:val="19"/>
          <w:szCs w:val="19"/>
        </w:rPr>
        <w:t xml:space="preserve"> sin reemplazar nada es un DataMatrix grabado al lado del texto, con el mismo número, para leerlo con una cámara. La norma no fija tecnología de marcado.</w:t>
      </w:r>
    </w:p>
    <w:p>
      <w:pPr>
        <w:pStyle w:val="Heading2"/>
        <w:keepNext/>
        <w:spacing w:after="80" w:before="180" w:line="276"/>
      </w:pPr>
      <w:r>
        <w:rPr>
          <w:rFonts w:ascii="Arial" w:cs="Arial" w:eastAsia="Arial" w:hAnsi="Arial"/>
          <w:color w:val="000000"/>
          <w:sz w:val="19"/>
          <w:szCs w:val="19"/>
        </w:rPr>
        <w:t xml:space="preserve">1.2 Contenido exacto de la franja</w:t>
      </w:r>
    </w:p>
    <w:p>
      <w:pPr>
        <w:keepNext/>
        <w:spacing w:after="60"/>
        <w:jc w:val="center"/>
      </w:pPr>
      <w:r>
        <w:drawing>
          <wp:inline distT="0" distB="0" distL="0" distR="0">
            <wp:extent cx="5943600" cy="4143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43600" cy="414337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Las tres franjas a escala.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39"/>
        <w:gridCol w:w="3788"/>
        <w:gridCol w:w="4079"/>
      </w:tblGrid>
      <w:tr>
        <w:trPr>
          <w:cantSplit/>
          <w:tblHeader/>
        </w:trPr>
        <w:tc>
          <w:tcPr>
            <w:tcW w:type="dxa" w:w="203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Campo</w:t>
            </w:r>
          </w:p>
        </w:tc>
        <w:tc>
          <w:tcPr>
            <w:tcW w:type="dxa" w:w="378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Contenido</w:t>
            </w:r>
          </w:p>
        </w:tc>
        <w:tc>
          <w:tcPr>
            <w:tcW w:type="dxa" w:w="407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Regla</w:t>
            </w:r>
          </w:p>
        </w:tc>
      </w:tr>
      <w:tr>
        <w:trPr>
          <w:cantSplit/>
        </w:trPr>
        <w:tc>
          <w:tcPr>
            <w:tcW w:type="dxa" w:w="203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 de serie</w:t>
            </w:r>
          </w:p>
        </w:tc>
        <w:tc>
          <w:tcPr>
            <w:tcW w:type="dxa" w:w="37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AA-NNNNNN (ej. 26-000123)</w:t>
            </w:r>
          </w:p>
        </w:tc>
        <w:tc>
          <w:tcPr>
            <w:tcW w:type="dxa" w:w="40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AA = año del corte; NNNNNN correlativo por año, único para todos los modelos; un número anulado no se reutiliza (</w:t>
            </w:r>
            <w:r>
              <w:rPr>
                <w:rFonts w:ascii="Arial" w:cs="Arial" w:eastAsia="Arial" w:hAnsi="Arial"/>
                <w:b/>
                <w:bCs/>
                <w:color w:val="000000"/>
                <w:sz w:val="16"/>
                <w:szCs w:val="16"/>
              </w:rPr>
              <w:t xml:space="preserve">criterio</w:t>
            </w:r>
            <w:r>
              <w:rPr>
                <w:rFonts w:ascii="Arial" w:cs="Arial" w:eastAsia="Arial" w:hAnsi="Arial"/>
                <w:b w:val="false"/>
                <w:bCs w:val="false"/>
                <w:color w:val="000000"/>
                <w:sz w:val="16"/>
                <w:szCs w:val="16"/>
              </w:rPr>
              <w:t xml:space="preserve">)</w:t>
            </w:r>
          </w:p>
        </w:tc>
      </w:tr>
      <w:tr>
        <w:trPr>
          <w:cantSplit/>
        </w:trPr>
        <w:tc>
          <w:tcPr>
            <w:tcW w:type="dxa" w:w="203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Año</w:t>
            </w:r>
          </w:p>
        </w:tc>
        <w:tc>
          <w:tcPr>
            <w:tcW w:type="dxa" w:w="37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dígitos (26)</w:t>
            </w:r>
          </w:p>
        </w:tc>
        <w:tc>
          <w:tcPr>
            <w:tcW w:type="dxa" w:w="40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3523 / 3550 5.1</w:t>
            </w:r>
          </w:p>
        </w:tc>
      </w:tr>
      <w:tr>
        <w:trPr>
          <w:cantSplit/>
        </w:trPr>
        <w:tc>
          <w:tcPr>
            <w:tcW w:type="dxa" w:w="203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Fabricante</w:t>
            </w:r>
          </w:p>
        </w:tc>
        <w:tc>
          <w:tcPr>
            <w:tcW w:type="dxa" w:w="37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FLAMA S.A.</w:t>
            </w:r>
          </w:p>
        </w:tc>
        <w:tc>
          <w:tcPr>
            <w:tcW w:type="dxa" w:w="40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3523 / 3550 5.1</w:t>
            </w:r>
          </w:p>
        </w:tc>
      </w:tr>
      <w:tr>
        <w:trPr>
          <w:cantSplit/>
        </w:trPr>
        <w:tc>
          <w:tcPr>
            <w:tcW w:type="dxa" w:w="203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Presión de ensayo (carros)</w:t>
            </w:r>
          </w:p>
        </w:tc>
        <w:tc>
          <w:tcPr>
            <w:tcW w:type="dxa" w:w="37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PE 4,0 MPa</w:t>
            </w:r>
          </w:p>
        </w:tc>
        <w:tc>
          <w:tcPr>
            <w:tcW w:type="dxa" w:w="40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3550 5.1; valor del catálogo de los planos</w:t>
            </w:r>
          </w:p>
        </w:tc>
      </w:tr>
      <w:tr>
        <w:trPr>
          <w:cantSplit/>
        </w:trPr>
        <w:tc>
          <w:tcPr>
            <w:tcW w:type="dxa" w:w="203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DataMatrix ECC 200</w:t>
            </w:r>
          </w:p>
        </w:tc>
        <w:tc>
          <w:tcPr>
            <w:tcW w:type="dxa" w:w="37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 GTIN: (01) GTIN del modelo + (21) 26000123 (cadena GS1, 26 dígitos); sin GTIN: 26000123</w:t>
            </w:r>
          </w:p>
        </w:tc>
        <w:tc>
          <w:tcPr>
            <w:tcW w:type="dxa" w:w="40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18 × 18 celdas de 0,6 mm = 10,8 mm; la cadena entra holgada</w:t>
            </w:r>
          </w:p>
        </w:tc>
      </w:tr>
      <w:tr>
        <w:trPr>
          <w:cantSplit/>
        </w:trPr>
        <w:tc>
          <w:tcPr>
            <w:tcW w:type="dxa" w:w="203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Cuño DPS</w:t>
            </w:r>
          </w:p>
        </w:tc>
        <w:tc>
          <w:tcPr>
            <w:tcW w:type="dxa" w:w="37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que entregue la DPS</w:t>
            </w:r>
          </w:p>
        </w:tc>
        <w:tc>
          <w:tcPr>
            <w:tcW w:type="dxa" w:w="40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 349/07 anexo IV</w:t>
            </w:r>
          </w:p>
        </w:tc>
      </w:tr>
    </w:tbl>
    <w:p>
      <w:pPr>
        <w:spacing w:after="120"/>
      </w:pPr>
    </w:p>
    <w:p>
      <w:pPr>
        <w:spacing w:after="100" w:before="0" w:line="276"/>
      </w:pPr>
      <w:r>
        <w:rPr>
          <w:rFonts w:ascii="Arial" w:cs="Arial" w:eastAsia="Arial" w:hAnsi="Arial"/>
          <w:b/>
          <w:bCs/>
          <w:color w:val="000000"/>
          <w:sz w:val="19"/>
          <w:szCs w:val="19"/>
        </w:rPr>
        <w:t xml:space="preserve">Por qué 0,6 mm por celda:</w:t>
      </w:r>
      <w:r>
        <w:rPr>
          <w:rFonts w:ascii="Arial" w:cs="Arial" w:eastAsia="Arial" w:hAnsi="Arial"/>
          <w:color w:val="000000"/>
          <w:sz w:val="19"/>
          <w:szCs w:val="19"/>
        </w:rPr>
        <w:t xml:space="preserve"> cada celda es un punto del punzón, y con 0,6 mm el código mide 10,8 mm: entra en una franja de 12 mm y en el Ø 76 del 1 kg (la curvatura es chica frente al código). Se confirma en el ensayo 1.6. El texto es el respaldo: si la cámara no lee, el operario tipea el número.</w:t>
      </w:r>
    </w:p>
    <w:p>
      <w:pPr>
        <w:pStyle w:val="Heading2"/>
        <w:keepNext/>
        <w:spacing w:after="80" w:before="180" w:line="276"/>
      </w:pPr>
      <w:r>
        <w:rPr>
          <w:rFonts w:ascii="Arial" w:cs="Arial" w:eastAsia="Arial" w:hAnsi="Arial"/>
          <w:color w:val="000000"/>
          <w:sz w:val="19"/>
          <w:szCs w:val="19"/>
        </w:rPr>
        <w:t xml:space="preserve">1.3 Dónde va en cada modelo</w:t>
      </w:r>
    </w:p>
    <w:p>
      <w:pPr>
        <w:spacing w:after="100" w:before="0" w:line="276"/>
      </w:pPr>
      <w:r>
        <w:rPr>
          <w:rFonts w:ascii="Arial" w:cs="Arial" w:eastAsia="Arial" w:hAnsi="Arial"/>
          <w:color w:val="000000"/>
          <w:sz w:val="19"/>
          <w:szCs w:val="19"/>
        </w:rPr>
        <w:t xml:space="preserve">Tres datos de los planos deciden el lugar: (1) la etiqueta, la oblea, el sello IRAM y la tarjeta AGC están del mismo lado que la costura longitudinal; (2) del lado opuesto los manuales solo tienen el QR de serie, y los carros tienen la manga enrollada; (3) los carros tienen los triángulos y el caño del eje soldados abajo, del lado de la costura.</w:t>
      </w:r>
    </w:p>
    <w:p>
      <w:pPr>
        <w:keepNext/>
        <w:spacing w:after="60"/>
        <w:jc w:val="center"/>
      </w:pPr>
      <w:r>
        <w:drawing>
          <wp:inline distT="0" distB="0" distL="0" distR="0">
            <wp:extent cx="5943600" cy="2495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43600" cy="24955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Cómo queda armado: 5 kg de los dos lados y 25 kg del lado de la etiqueta y del lado de la manga.</w:t>
      </w:r>
    </w:p>
    <w:p>
      <w:pPr>
        <w:keepNext/>
        <w:spacing w:after="60"/>
        <w:jc w:val="center"/>
      </w:pPr>
      <w:r>
        <w:drawing>
          <wp:inline distT="0" distB="0" distL="0" distR="0">
            <wp:extent cx="5943600" cy="26860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43600" cy="26860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1 kg y 2,5 kg desarrollados. Rojo: franja grabada · amarillo: faja de sustituto o reserva · gris: etiqueta · violeta: oblea PBA y tarjeta AGC · rosa: sello IRAM · celeste: QR de serie · gris oscuro: triángulos y caño del eje. Los bordes gruesos son la costura; es la planchuela como la ve la marcadora, cara exterior arriba.</w:t>
      </w:r>
    </w:p>
    <w:p>
      <w:pPr>
        <w:keepNext/>
        <w:spacing w:after="60"/>
        <w:jc w:val="center"/>
      </w:pPr>
      <w:r>
        <w:drawing>
          <wp:inline distT="0" distB="0" distL="0" distR="0">
            <wp:extent cx="5943600" cy="25622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43600" cy="25622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5 kg y 10 kg desarrollados.</w:t>
      </w:r>
    </w:p>
    <w:p>
      <w:pPr>
        <w:keepNext/>
        <w:spacing w:after="60"/>
        <w:jc w:val="center"/>
      </w:pPr>
      <w:r>
        <w:drawing>
          <wp:inline distT="0" distB="0" distL="0" distR="0">
            <wp:extent cx="5943600" cy="19716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43600" cy="197167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25 kg y 50 kg desarrollados: la franja arranca a 25 mm del borde de costura, encima de los triángulos.</w:t>
      </w:r>
    </w:p>
    <w:p>
      <w:pPr>
        <w:keepNext/>
        <w:spacing w:after="60"/>
        <w:jc w:val="center"/>
      </w:pPr>
      <w:r>
        <w:drawing>
          <wp:inline distT="0" distB="0" distL="0" distR="0">
            <wp:extent cx="5943600" cy="22193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43600" cy="2219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70 kg y 100 kg desarrollados.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06"/>
        <w:gridCol w:w="2377"/>
        <w:gridCol w:w="1359"/>
        <w:gridCol w:w="1245"/>
        <w:gridCol w:w="679"/>
        <w:gridCol w:w="1472"/>
        <w:gridCol w:w="623"/>
        <w:gridCol w:w="1245"/>
      </w:tblGrid>
      <w:tr>
        <w:trPr>
          <w:cantSplit/>
          <w:tblHeader/>
        </w:trPr>
        <w:tc>
          <w:tcPr>
            <w:tcW w:type="dxa" w:w="90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Modelo</w:t>
            </w:r>
          </w:p>
        </w:tc>
        <w:tc>
          <w:tcPr>
            <w:tcW w:type="dxa" w:w="237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Lado</w:t>
            </w:r>
          </w:p>
        </w:tc>
        <w:tc>
          <w:tcPr>
            <w:tcW w:type="dxa" w:w="135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u desde el borde de costura (mm)</w:t>
            </w:r>
          </w:p>
        </w:tc>
        <w:tc>
          <w:tcPr>
            <w:tcW w:type="dxa" w:w="124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z desde el borde inferior (mm)</w:t>
            </w:r>
          </w:p>
        </w:tc>
        <w:tc>
          <w:tcPr>
            <w:tcW w:type="dxa" w:w="67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Arco</w:t>
            </w:r>
          </w:p>
        </w:tc>
        <w:tc>
          <w:tcPr>
            <w:tcW w:type="dxa" w:w="147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Zona</w:t>
            </w:r>
          </w:p>
        </w:tc>
        <w:tc>
          <w:tcPr>
            <w:tcW w:type="dxa" w:w="62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 (mm)</w:t>
            </w:r>
          </w:p>
        </w:tc>
        <w:tc>
          <w:tcPr>
            <w:tcW w:type="dxa" w:w="124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Profundidad (criterio, mm)</w:t>
            </w:r>
          </w:p>
        </w:tc>
      </w:tr>
      <w:tr>
        <w:trPr>
          <w:cantSplit/>
        </w:trPr>
        <w:tc>
          <w:tcPr>
            <w:tcW w:type="dxa" w:w="90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kg</w:t>
            </w:r>
          </w:p>
        </w:tc>
        <w:tc>
          <w:tcPr>
            <w:tcW w:type="dxa" w:w="23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opuesto a la costura, bajo el QR de serie</w:t>
            </w:r>
          </w:p>
        </w:tc>
        <w:tc>
          <w:tcPr>
            <w:tcW w:type="dxa" w:w="135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74,7 – 164,7</w:t>
            </w:r>
          </w:p>
        </w:tc>
        <w:tc>
          <w:tcPr>
            <w:tcW w:type="dxa" w:w="12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14 – 27</w:t>
            </w:r>
          </w:p>
        </w:tc>
        <w:tc>
          <w:tcPr>
            <w:tcW w:type="dxa" w:w="6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135°</w:t>
            </w:r>
          </w:p>
        </w:tc>
        <w:tc>
          <w:tcPr>
            <w:tcW w:type="dxa" w:w="14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pared a presión</w:t>
            </w:r>
          </w:p>
        </w:tc>
        <w:tc>
          <w:tcPr>
            <w:tcW w:type="dxa" w:w="6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0,9</w:t>
            </w:r>
          </w:p>
        </w:tc>
        <w:tc>
          <w:tcPr>
            <w:tcW w:type="dxa" w:w="12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0,08–0,10</w:t>
            </w:r>
          </w:p>
        </w:tc>
      </w:tr>
      <w:tr>
        <w:trPr>
          <w:cantSplit/>
        </w:trPr>
        <w:tc>
          <w:tcPr>
            <w:tcW w:type="dxa" w:w="90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w:t>
            </w:r>
          </w:p>
        </w:tc>
        <w:tc>
          <w:tcPr>
            <w:tcW w:type="dxa" w:w="23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opuesto a la costura, bajo el QR de serie</w:t>
            </w:r>
          </w:p>
        </w:tc>
        <w:tc>
          <w:tcPr>
            <w:tcW w:type="dxa" w:w="135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129,8 – 259,8</w:t>
            </w:r>
          </w:p>
        </w:tc>
        <w:tc>
          <w:tcPr>
            <w:tcW w:type="dxa" w:w="12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 14</w:t>
            </w:r>
          </w:p>
        </w:tc>
        <w:tc>
          <w:tcPr>
            <w:tcW w:type="dxa" w:w="6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120°</w:t>
            </w:r>
          </w:p>
        </w:tc>
        <w:tc>
          <w:tcPr>
            <w:tcW w:type="dxa" w:w="14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pollera de 16 mm</w:t>
            </w:r>
          </w:p>
        </w:tc>
        <w:tc>
          <w:tcPr>
            <w:tcW w:type="dxa" w:w="6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1,25</w:t>
            </w:r>
          </w:p>
        </w:tc>
        <w:tc>
          <w:tcPr>
            <w:tcW w:type="dxa" w:w="12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0,20–0,25</w:t>
            </w:r>
          </w:p>
        </w:tc>
      </w:tr>
      <w:tr>
        <w:trPr>
          <w:cantSplit/>
        </w:trPr>
        <w:tc>
          <w:tcPr>
            <w:tcW w:type="dxa" w:w="90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kg</w:t>
            </w:r>
          </w:p>
        </w:tc>
        <w:tc>
          <w:tcPr>
            <w:tcW w:type="dxa" w:w="23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opuesto a la costura, bajo el QR de serie</w:t>
            </w:r>
          </w:p>
        </w:tc>
        <w:tc>
          <w:tcPr>
            <w:tcW w:type="dxa" w:w="135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175,3 – 305,3</w:t>
            </w:r>
          </w:p>
        </w:tc>
        <w:tc>
          <w:tcPr>
            <w:tcW w:type="dxa" w:w="12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4,5 – 16,5</w:t>
            </w:r>
          </w:p>
        </w:tc>
        <w:tc>
          <w:tcPr>
            <w:tcW w:type="dxa" w:w="6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97°</w:t>
            </w:r>
          </w:p>
        </w:tc>
        <w:tc>
          <w:tcPr>
            <w:tcW w:type="dxa" w:w="14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pollera de 21,5 mm</w:t>
            </w:r>
          </w:p>
        </w:tc>
        <w:tc>
          <w:tcPr>
            <w:tcW w:type="dxa" w:w="6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1,6</w:t>
            </w:r>
          </w:p>
        </w:tc>
        <w:tc>
          <w:tcPr>
            <w:tcW w:type="dxa" w:w="12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0,20–0,25</w:t>
            </w:r>
          </w:p>
        </w:tc>
      </w:tr>
      <w:tr>
        <w:trPr>
          <w:cantSplit/>
        </w:trPr>
        <w:tc>
          <w:tcPr>
            <w:tcW w:type="dxa" w:w="90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 kg</w:t>
            </w:r>
          </w:p>
        </w:tc>
        <w:tc>
          <w:tcPr>
            <w:tcW w:type="dxa" w:w="23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opuesto a la costura, bajo el QR de serie</w:t>
            </w:r>
          </w:p>
        </w:tc>
        <w:tc>
          <w:tcPr>
            <w:tcW w:type="dxa" w:w="135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220,1 – 350,1</w:t>
            </w:r>
          </w:p>
        </w:tc>
        <w:tc>
          <w:tcPr>
            <w:tcW w:type="dxa" w:w="12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 14</w:t>
            </w:r>
          </w:p>
        </w:tc>
        <w:tc>
          <w:tcPr>
            <w:tcW w:type="dxa" w:w="6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82°</w:t>
            </w:r>
          </w:p>
        </w:tc>
        <w:tc>
          <w:tcPr>
            <w:tcW w:type="dxa" w:w="14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pollera de 16,5 mm</w:t>
            </w:r>
          </w:p>
        </w:tc>
        <w:tc>
          <w:tcPr>
            <w:tcW w:type="dxa" w:w="6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w:t>
            </w:r>
          </w:p>
        </w:tc>
        <w:tc>
          <w:tcPr>
            <w:tcW w:type="dxa" w:w="12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0,20–0,25</w:t>
            </w:r>
          </w:p>
        </w:tc>
      </w:tr>
      <w:tr>
        <w:trPr>
          <w:cantSplit/>
        </w:trPr>
        <w:tc>
          <w:tcPr>
            <w:tcW w:type="dxa" w:w="90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w:t>
            </w:r>
          </w:p>
        </w:tc>
        <w:tc>
          <w:tcPr>
            <w:tcW w:type="dxa" w:w="23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de la costura, encima de los triángulos</w:t>
            </w:r>
          </w:p>
        </w:tc>
        <w:tc>
          <w:tcPr>
            <w:tcW w:type="dxa" w:w="135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 140</w:t>
            </w:r>
          </w:p>
        </w:tc>
        <w:tc>
          <w:tcPr>
            <w:tcW w:type="dxa" w:w="12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95 – 108</w:t>
            </w:r>
          </w:p>
        </w:tc>
        <w:tc>
          <w:tcPr>
            <w:tcW w:type="dxa" w:w="6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48°</w:t>
            </w:r>
          </w:p>
        </w:tc>
        <w:tc>
          <w:tcPr>
            <w:tcW w:type="dxa" w:w="14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pared a presión</w:t>
            </w:r>
          </w:p>
        </w:tc>
        <w:tc>
          <w:tcPr>
            <w:tcW w:type="dxa" w:w="6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3,2</w:t>
            </w:r>
          </w:p>
        </w:tc>
        <w:tc>
          <w:tcPr>
            <w:tcW w:type="dxa" w:w="12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0,30</w:t>
            </w:r>
          </w:p>
        </w:tc>
      </w:tr>
      <w:tr>
        <w:trPr>
          <w:cantSplit/>
        </w:trPr>
        <w:tc>
          <w:tcPr>
            <w:tcW w:type="dxa" w:w="90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50 kg</w:t>
            </w:r>
          </w:p>
        </w:tc>
        <w:tc>
          <w:tcPr>
            <w:tcW w:type="dxa" w:w="23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de la costura, encima de los triángulos</w:t>
            </w:r>
          </w:p>
        </w:tc>
        <w:tc>
          <w:tcPr>
            <w:tcW w:type="dxa" w:w="135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 140</w:t>
            </w:r>
          </w:p>
        </w:tc>
        <w:tc>
          <w:tcPr>
            <w:tcW w:type="dxa" w:w="12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105 – 118</w:t>
            </w:r>
          </w:p>
        </w:tc>
        <w:tc>
          <w:tcPr>
            <w:tcW w:type="dxa" w:w="6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41°</w:t>
            </w:r>
          </w:p>
        </w:tc>
        <w:tc>
          <w:tcPr>
            <w:tcW w:type="dxa" w:w="14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pared a presión</w:t>
            </w:r>
          </w:p>
        </w:tc>
        <w:tc>
          <w:tcPr>
            <w:tcW w:type="dxa" w:w="6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3,2</w:t>
            </w:r>
          </w:p>
        </w:tc>
        <w:tc>
          <w:tcPr>
            <w:tcW w:type="dxa" w:w="12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0,30</w:t>
            </w:r>
          </w:p>
        </w:tc>
      </w:tr>
      <w:tr>
        <w:trPr>
          <w:cantSplit/>
        </w:trPr>
        <w:tc>
          <w:tcPr>
            <w:tcW w:type="dxa" w:w="90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70 kg</w:t>
            </w:r>
          </w:p>
        </w:tc>
        <w:tc>
          <w:tcPr>
            <w:tcW w:type="dxa" w:w="23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de la costura, encima de los triángulos</w:t>
            </w:r>
          </w:p>
        </w:tc>
        <w:tc>
          <w:tcPr>
            <w:tcW w:type="dxa" w:w="135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 140</w:t>
            </w:r>
          </w:p>
        </w:tc>
        <w:tc>
          <w:tcPr>
            <w:tcW w:type="dxa" w:w="12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125 – 138</w:t>
            </w:r>
          </w:p>
        </w:tc>
        <w:tc>
          <w:tcPr>
            <w:tcW w:type="dxa" w:w="6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34°</w:t>
            </w:r>
          </w:p>
        </w:tc>
        <w:tc>
          <w:tcPr>
            <w:tcW w:type="dxa" w:w="14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pared a presión</w:t>
            </w:r>
          </w:p>
        </w:tc>
        <w:tc>
          <w:tcPr>
            <w:tcW w:type="dxa" w:w="6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4,75</w:t>
            </w:r>
          </w:p>
        </w:tc>
        <w:tc>
          <w:tcPr>
            <w:tcW w:type="dxa" w:w="12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0,40–0,45</w:t>
            </w:r>
          </w:p>
        </w:tc>
      </w:tr>
      <w:tr>
        <w:trPr>
          <w:cantSplit/>
        </w:trPr>
        <w:tc>
          <w:tcPr>
            <w:tcW w:type="dxa" w:w="90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kg</w:t>
            </w:r>
          </w:p>
        </w:tc>
        <w:tc>
          <w:tcPr>
            <w:tcW w:type="dxa" w:w="23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de la costura, encima de los triángulos</w:t>
            </w:r>
          </w:p>
        </w:tc>
        <w:tc>
          <w:tcPr>
            <w:tcW w:type="dxa" w:w="135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 140</w:t>
            </w:r>
          </w:p>
        </w:tc>
        <w:tc>
          <w:tcPr>
            <w:tcW w:type="dxa" w:w="12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125 – 138</w:t>
            </w:r>
          </w:p>
        </w:tc>
        <w:tc>
          <w:tcPr>
            <w:tcW w:type="dxa" w:w="6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34°</w:t>
            </w:r>
          </w:p>
        </w:tc>
        <w:tc>
          <w:tcPr>
            <w:tcW w:type="dxa" w:w="14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pared a presión</w:t>
            </w:r>
          </w:p>
        </w:tc>
        <w:tc>
          <w:tcPr>
            <w:tcW w:type="dxa" w:w="6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4,75</w:t>
            </w:r>
          </w:p>
        </w:tc>
        <w:tc>
          <w:tcPr>
            <w:tcW w:type="dxa" w:w="12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0,40–0,45</w:t>
            </w:r>
          </w:p>
        </w:tc>
      </w:tr>
    </w:tbl>
    <w:p>
      <w:pPr>
        <w:spacing w:after="120"/>
      </w:pPr>
    </w:p>
    <w:p>
      <w:pPr>
        <w:pStyle w:val="ListParagraph"/>
        <w:numPr>
          <w:ilvl w:val="0"/>
          <w:numId w:val="2"/>
        </w:numPr>
        <w:spacing w:after="40" w:before="0" w:line="276"/>
      </w:pPr>
      <w:r>
        <w:rPr>
          <w:rFonts w:ascii="Arial" w:cs="Arial" w:eastAsia="Arial" w:hAnsi="Arial"/>
          <w:b/>
          <w:bCs/>
          <w:color w:val="000000"/>
          <w:sz w:val="19"/>
          <w:szCs w:val="19"/>
        </w:rPr>
        <w:t xml:space="preserve">1 kg:</w:t>
      </w:r>
      <w:r>
        <w:rPr>
          <w:rFonts w:ascii="Arial" w:cs="Arial" w:eastAsia="Arial" w:hAnsi="Arial"/>
          <w:color w:val="000000"/>
          <w:sz w:val="19"/>
          <w:szCs w:val="19"/>
        </w:rPr>
        <w:t xml:space="preserve"> no tiene pollera (el fondo monta por fuera), así que la franja va en la pared a presión, encima del fondo, en dos líneas para no rodear medio cuerpo.</w:t>
      </w:r>
    </w:p>
    <w:p>
      <w:pPr>
        <w:pStyle w:val="ListParagraph"/>
        <w:numPr>
          <w:ilvl w:val="0"/>
          <w:numId w:val="2"/>
        </w:numPr>
        <w:spacing w:after="40" w:before="0" w:line="276"/>
      </w:pPr>
      <w:r>
        <w:rPr>
          <w:rFonts w:ascii="Arial" w:cs="Arial" w:eastAsia="Arial" w:hAnsi="Arial"/>
          <w:b/>
          <w:bCs/>
          <w:color w:val="000000"/>
          <w:sz w:val="19"/>
          <w:szCs w:val="19"/>
        </w:rPr>
        <w:t xml:space="preserve">2,5 a 10 kg:</w:t>
      </w:r>
      <w:r>
        <w:rPr>
          <w:rFonts w:ascii="Arial" w:cs="Arial" w:eastAsia="Arial" w:hAnsi="Arial"/>
          <w:color w:val="000000"/>
          <w:sz w:val="19"/>
          <w:szCs w:val="19"/>
        </w:rPr>
        <w:t xml:space="preserve"> en la pollera, que está debajo del fondo y no trabaja a presión. Es el mejor lugar: se puede grabar más hondo sin tocar la pared resistente.</w:t>
      </w:r>
    </w:p>
    <w:p>
      <w:pPr>
        <w:pStyle w:val="ListParagraph"/>
        <w:numPr>
          <w:ilvl w:val="0"/>
          <w:numId w:val="2"/>
        </w:numPr>
        <w:spacing w:after="40" w:before="0" w:line="276"/>
      </w:pPr>
      <w:r>
        <w:rPr>
          <w:rFonts w:ascii="Arial" w:cs="Arial" w:eastAsia="Arial" w:hAnsi="Arial"/>
          <w:b/>
          <w:bCs/>
          <w:color w:val="000000"/>
          <w:sz w:val="19"/>
          <w:szCs w:val="19"/>
        </w:rPr>
        <w:t xml:space="preserve">Carros:</w:t>
      </w:r>
      <w:r>
        <w:rPr>
          <w:rFonts w:ascii="Arial" w:cs="Arial" w:eastAsia="Arial" w:hAnsi="Arial"/>
          <w:color w:val="000000"/>
          <w:sz w:val="19"/>
          <w:szCs w:val="19"/>
        </w:rPr>
        <w:t xml:space="preserve"> del lado de la manga no se puede (la manga enrollada la tapa) y abajo del lado de la costura están los triángulos y el caño del eje. Queda encima de los triángulos, a 25 mm del borde de costura (fuera de la zona afectada por la soldadura longitudinal, </w:t>
      </w:r>
      <w:r>
        <w:rPr>
          <w:rFonts w:ascii="Arial" w:cs="Arial" w:eastAsia="Arial" w:hAnsi="Arial"/>
          <w:b/>
          <w:bCs/>
          <w:color w:val="000000"/>
          <w:sz w:val="19"/>
          <w:szCs w:val="19"/>
        </w:rPr>
        <w:t xml:space="preserve">criterio</w:t>
      </w:r>
      <w:r>
        <w:rPr>
          <w:rFonts w:ascii="Arial" w:cs="Arial" w:eastAsia="Arial" w:hAnsi="Arial"/>
          <w:color w:val="000000"/>
          <w:sz w:val="19"/>
          <w:szCs w:val="19"/>
        </w:rPr>
        <w:t xml:space="preserve">) y debajo de la oblea y del sello.</w:t>
      </w:r>
    </w:p>
    <w:p>
      <w:pPr>
        <w:pStyle w:val="ListParagraph"/>
        <w:numPr>
          <w:ilvl w:val="0"/>
          <w:numId w:val="2"/>
        </w:numPr>
        <w:spacing w:after="40" w:before="0" w:line="276"/>
      </w:pPr>
      <w:r>
        <w:rPr>
          <w:rFonts w:ascii="Arial" w:cs="Arial" w:eastAsia="Arial" w:hAnsi="Arial"/>
          <w:b/>
          <w:bCs/>
          <w:color w:val="000000"/>
          <w:sz w:val="19"/>
          <w:szCs w:val="19"/>
        </w:rPr>
        <w:t xml:space="preserve">Cilindros vendidos vacíos y sustitutos:</w:t>
      </w:r>
      <w:r>
        <w:rPr>
          <w:rFonts w:ascii="Arial" w:cs="Arial" w:eastAsia="Arial" w:hAnsi="Arial"/>
          <w:color w:val="000000"/>
          <w:sz w:val="19"/>
          <w:szCs w:val="19"/>
        </w:rPr>
        <w:t xml:space="preserve"> igual que su modelo.</w:t>
      </w:r>
    </w:p>
    <w:p>
      <w:pPr>
        <w:pStyle w:val="ListParagraph"/>
        <w:numPr>
          <w:ilvl w:val="0"/>
          <w:numId w:val="2"/>
        </w:numPr>
        <w:spacing w:after="40" w:before="0" w:line="276"/>
      </w:pPr>
      <w:r>
        <w:rPr>
          <w:rFonts w:ascii="Arial" w:cs="Arial" w:eastAsia="Arial" w:hAnsi="Arial"/>
          <w:b/>
          <w:bCs/>
          <w:color w:val="000000"/>
          <w:sz w:val="19"/>
          <w:szCs w:val="19"/>
        </w:rPr>
        <w:t xml:space="preserve">DPS:</w:t>
      </w:r>
      <w:r>
        <w:rPr>
          <w:rFonts w:ascii="Arial" w:cs="Arial" w:eastAsia="Arial" w:hAnsi="Arial"/>
          <w:color w:val="000000"/>
          <w:sz w:val="19"/>
          <w:szCs w:val="19"/>
        </w:rPr>
        <w:t xml:space="preserve"> la Res. 349/07 pide el cuño en la pollera u ojiva. En los 2,5 a 10 kg va en la pollera. Para el 1 kg y los carros falta confirmar con la DPS que vale el cuerpo bajo; si no, el número y el cuño se repiten en la ojiva.</w:t>
      </w:r>
    </w:p>
    <w:p>
      <w:pPr>
        <w:pStyle w:val="Heading2"/>
        <w:keepNext/>
        <w:spacing w:after="80" w:before="180" w:line="276"/>
      </w:pPr>
      <w:r>
        <w:rPr>
          <w:rFonts w:ascii="Arial" w:cs="Arial" w:eastAsia="Arial" w:hAnsi="Arial"/>
          <w:color w:val="000000"/>
          <w:sz w:val="19"/>
          <w:szCs w:val="19"/>
        </w:rPr>
        <w:t xml:space="preserve">1.4 Profundidad</w:t>
      </w:r>
    </w:p>
    <w:p>
      <w:pPr>
        <w:keepNext/>
        <w:spacing w:after="60"/>
        <w:jc w:val="center"/>
      </w:pPr>
      <w:r>
        <w:drawing>
          <wp:inline distT="0" distB="0" distL="0" distR="0">
            <wp:extent cx="5943600" cy="20859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43600" cy="208597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Corte de la pared con la huella del punzón y la pintura (esquema).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83"/>
        <w:gridCol w:w="1305"/>
        <w:gridCol w:w="1483"/>
        <w:gridCol w:w="4152"/>
        <w:gridCol w:w="1483"/>
      </w:tblGrid>
      <w:tr>
        <w:trPr>
          <w:cantSplit/>
          <w:tblHeader/>
        </w:trPr>
        <w:tc>
          <w:tcPr>
            <w:tcW w:type="dxa" w:w="148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Modelo</w:t>
            </w:r>
          </w:p>
        </w:tc>
        <w:tc>
          <w:tcPr>
            <w:tcW w:type="dxa" w:w="130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 (mm)</w:t>
            </w:r>
          </w:p>
        </w:tc>
        <w:tc>
          <w:tcPr>
            <w:tcW w:type="dxa" w:w="148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Zona</w:t>
            </w:r>
          </w:p>
        </w:tc>
        <w:tc>
          <w:tcPr>
            <w:tcW w:type="dxa" w:w="415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Regla (criterio)</w:t>
            </w:r>
          </w:p>
        </w:tc>
        <w:tc>
          <w:tcPr>
            <w:tcW w:type="dxa" w:w="148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Profundidad</w:t>
            </w:r>
          </w:p>
        </w:tc>
      </w:tr>
      <w:tr>
        <w:trPr>
          <w:cantSplit/>
        </w:trPr>
        <w:tc>
          <w:tcPr>
            <w:tcW w:type="dxa" w:w="14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kg</w:t>
            </w:r>
          </w:p>
        </w:tc>
        <w:tc>
          <w:tcPr>
            <w:tcW w:type="dxa" w:w="13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0,9</w:t>
            </w:r>
          </w:p>
        </w:tc>
        <w:tc>
          <w:tcPr>
            <w:tcW w:type="dxa" w:w="14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pared a presión</w:t>
            </w:r>
          </w:p>
        </w:tc>
        <w:tc>
          <w:tcPr>
            <w:tcW w:type="dxa" w:w="415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10 % de e. La prueba hidráulica al 100 % se hace después del grabado y valida la pared ya marcada</w:t>
            </w:r>
          </w:p>
        </w:tc>
        <w:tc>
          <w:tcPr>
            <w:tcW w:type="dxa" w:w="14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0,08 – 0,10 mm</w:t>
            </w:r>
          </w:p>
        </w:tc>
      </w:tr>
      <w:tr>
        <w:trPr>
          <w:cantSplit/>
        </w:trPr>
        <w:tc>
          <w:tcPr>
            <w:tcW w:type="dxa" w:w="14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 5 / 10 kg</w:t>
            </w:r>
          </w:p>
        </w:tc>
        <w:tc>
          <w:tcPr>
            <w:tcW w:type="dxa" w:w="13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1,25 / 1,6 / 2,0</w:t>
            </w:r>
          </w:p>
        </w:tc>
        <w:tc>
          <w:tcPr>
            <w:tcW w:type="dxa" w:w="14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pollera</w:t>
            </w:r>
          </w:p>
        </w:tc>
        <w:tc>
          <w:tcPr>
            <w:tcW w:type="dxa" w:w="415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3 veces el espesor de pintura (70 µm, planilla de MP: poliéster 60 a 80 µm), para seguir legible después de repintados</w:t>
            </w:r>
          </w:p>
        </w:tc>
        <w:tc>
          <w:tcPr>
            <w:tcW w:type="dxa" w:w="14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0,20 – 0,25 mm</w:t>
            </w:r>
          </w:p>
        </w:tc>
      </w:tr>
      <w:tr>
        <w:trPr>
          <w:cantSplit/>
        </w:trPr>
        <w:tc>
          <w:tcPr>
            <w:tcW w:type="dxa" w:w="14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 50 kg</w:t>
            </w:r>
          </w:p>
        </w:tc>
        <w:tc>
          <w:tcPr>
            <w:tcW w:type="dxa" w:w="13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3,2</w:t>
            </w:r>
          </w:p>
        </w:tc>
        <w:tc>
          <w:tcPr>
            <w:tcW w:type="dxa" w:w="14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pared a presión</w:t>
            </w:r>
          </w:p>
        </w:tc>
        <w:tc>
          <w:tcPr>
            <w:tcW w:type="dxa" w:w="415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10 % de e (0,32) y ≥ 3 × pintura (0,21)</w:t>
            </w:r>
          </w:p>
        </w:tc>
        <w:tc>
          <w:tcPr>
            <w:tcW w:type="dxa" w:w="14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0,30 mm</w:t>
            </w:r>
          </w:p>
        </w:tc>
      </w:tr>
      <w:tr>
        <w:trPr>
          <w:cantSplit/>
        </w:trPr>
        <w:tc>
          <w:tcPr>
            <w:tcW w:type="dxa" w:w="14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70 / 100 kg</w:t>
            </w:r>
          </w:p>
        </w:tc>
        <w:tc>
          <w:tcPr>
            <w:tcW w:type="dxa" w:w="13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4,75</w:t>
            </w:r>
          </w:p>
        </w:tc>
        <w:tc>
          <w:tcPr>
            <w:tcW w:type="dxa" w:w="14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pared a presión</w:t>
            </w:r>
          </w:p>
        </w:tc>
        <w:tc>
          <w:tcPr>
            <w:tcW w:type="dxa" w:w="415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10 % de e (0,475) y ≥ 3 × pintura</w:t>
            </w:r>
          </w:p>
        </w:tc>
        <w:tc>
          <w:tcPr>
            <w:tcW w:type="dxa" w:w="14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0,40 – 0,45 mm</w:t>
            </w:r>
          </w:p>
        </w:tc>
      </w:tr>
    </w:tbl>
    <w:p>
      <w:pPr>
        <w:spacing w:after="120"/>
      </w:pPr>
    </w:p>
    <w:p>
      <w:pPr>
        <w:spacing w:after="100" w:before="0" w:line="276"/>
      </w:pPr>
      <w:r>
        <w:rPr>
          <w:rFonts w:ascii="Arial" w:cs="Arial" w:eastAsia="Arial" w:hAnsi="Arial"/>
          <w:color w:val="000000"/>
          <w:sz w:val="19"/>
          <w:szCs w:val="19"/>
        </w:rPr>
        <w:t xml:space="preserve">La Pannier ADP120160D graba texto, logos y códigos 2D en una ventana de 120 × 160 mm y su fabricante la ofrece para marcas profundas legibles después de granallado y pintura (</w:t>
      </w:r>
      <w:hyperlink w:history="1" r:id="rId5mprdesvphapiiditmezz">
        <w:r>
          <w:rPr>
            <w:rFonts w:ascii="Arial" w:cs="Arial" w:eastAsia="Arial" w:hAnsi="Arial"/>
            <w:color w:val="1F1F1F"/>
            <w:sz w:val="19"/>
            <w:szCs w:val="19"/>
            <w:u w:val="single"/>
          </w:rPr>
          <w:t xml:space="preserve">ficha</w:t>
        </w:r>
      </w:hyperlink>
      <w:r>
        <w:rPr>
          <w:rFonts w:ascii="Arial" w:cs="Arial" w:eastAsia="Arial" w:hAnsi="Arial"/>
          <w:color w:val="000000"/>
          <w:sz w:val="19"/>
          <w:szCs w:val="19"/>
        </w:rPr>
        <w:t xml:space="preserve">); </w:t>
      </w:r>
      <w:hyperlink w:history="1" r:id="rIdxwmm2owyeqk6ckmcpztqh">
        <w:r>
          <w:rPr>
            <w:rFonts w:ascii="Arial" w:cs="Arial" w:eastAsia="Arial" w:hAnsi="Arial"/>
            <w:color w:val="1F1F1F"/>
            <w:sz w:val="19"/>
            <w:szCs w:val="19"/>
            <w:u w:val="single"/>
          </w:rPr>
          <w:t xml:space="preserve">The Fabricator</w:t>
        </w:r>
      </w:hyperlink>
      <w:r>
        <w:rPr>
          <w:rFonts w:ascii="Arial" w:cs="Arial" w:eastAsia="Arial" w:hAnsi="Arial"/>
          <w:color w:val="000000"/>
          <w:sz w:val="19"/>
          <w:szCs w:val="19"/>
        </w:rPr>
        <w:t xml:space="preserve"> y </w:t>
      </w:r>
      <w:hyperlink w:history="1" r:id="rIddqnd1hypj8ulog37pqa3v">
        <w:r>
          <w:rPr>
            <w:rFonts w:ascii="Arial" w:cs="Arial" w:eastAsia="Arial" w:hAnsi="Arial"/>
            <w:color w:val="1F1F1F"/>
            <w:sz w:val="19"/>
            <w:szCs w:val="19"/>
            <w:u w:val="single"/>
          </w:rPr>
          <w:t xml:space="preserve">Protocase</w:t>
        </w:r>
      </w:hyperlink>
      <w:r>
        <w:rPr>
          <w:rFonts w:ascii="Arial" w:cs="Arial" w:eastAsia="Arial" w:hAnsi="Arial"/>
          <w:color w:val="000000"/>
          <w:sz w:val="19"/>
          <w:szCs w:val="19"/>
        </w:rPr>
        <w:t xml:space="preserve"> reportan lo mismo para micropercusión bajo recubrimiento. La franja de 130 mm entra de un golpe si se orienta a lo largo del lado de 160 mm de la ventana. En carros la franja va en dos líneas (115 × 13 mm) para entrar en la ventana de la DTMAQ MPE 150130 (el nombre sugiere 150 × 130 mm: confirmar).</w:t>
      </w:r>
    </w:p>
    <w:p>
      <w:pPr>
        <w:pStyle w:val="Heading2"/>
        <w:keepNext/>
        <w:spacing w:after="80" w:before="180" w:line="276"/>
      </w:pPr>
      <w:r>
        <w:rPr>
          <w:rFonts w:ascii="Arial" w:cs="Arial" w:eastAsia="Arial" w:hAnsi="Arial"/>
          <w:color w:val="000000"/>
          <w:sz w:val="19"/>
          <w:szCs w:val="19"/>
        </w:rPr>
        <w:t xml:space="preserve">1.5 Cómo se graba, paso a paso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282"/>
        <w:gridCol w:w="4312"/>
        <w:gridCol w:w="4312"/>
      </w:tblGrid>
      <w:tr>
        <w:trPr>
          <w:cantSplit/>
          <w:tblHeader/>
        </w:trPr>
        <w:tc>
          <w:tcPr>
            <w:tcW w:type="dxa" w:w="128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Paso</w:t>
            </w:r>
          </w:p>
        </w:tc>
        <w:tc>
          <w:tcPr>
            <w:tcW w:type="dxa" w:w="431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Manuales (salida de G2, Pannier)</w:t>
            </w:r>
          </w:p>
        </w:tc>
        <w:tc>
          <w:tcPr>
            <w:tcW w:type="dxa" w:w="431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Carros (puesto 2.1, DTMAQ MPE 150130)</w:t>
            </w:r>
          </w:p>
        </w:tc>
      </w:tr>
      <w:tr>
        <w:trPr>
          <w:cantSplit/>
        </w:trPr>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Orden</w:t>
            </w:r>
          </w:p>
        </w:tc>
        <w:tc>
          <w:tcPr>
            <w:tcW w:type="dxa" w:w="43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programa de corte de G2 le pasa a la app el modelo de la tanda</w:t>
            </w:r>
          </w:p>
        </w:tc>
        <w:tc>
          <w:tcPr>
            <w:tcW w:type="dxa" w:w="43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 desde el corte</w:t>
            </w:r>
          </w:p>
        </w:tc>
      </w:tr>
      <w:tr>
        <w:trPr>
          <w:cantSplit/>
        </w:trPr>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Número</w:t>
            </w:r>
          </w:p>
        </w:tc>
        <w:tc>
          <w:tcPr>
            <w:tcW w:type="dxa" w:w="43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app pide el próximo serie al sistema y se lo envía a la marcadora como texto variable (confirmar con Pannier el ingreso desde PC)</w:t>
            </w:r>
          </w:p>
        </w:tc>
        <w:tc>
          <w:tcPr>
            <w:tcW w:type="dxa" w:w="43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 (confirmar con DTMAQ)</w:t>
            </w:r>
          </w:p>
        </w:tc>
      </w:tr>
      <w:tr>
        <w:trPr>
          <w:cantSplit/>
        </w:trPr>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Posición</w:t>
            </w:r>
          </w:p>
        </w:tc>
        <w:tc>
          <w:tcPr>
            <w:tcW w:type="dxa" w:w="43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Planchuela con la cara exterior arriba, contra el tope del borde inferior y el tope del centro (desarrollo / 2)</w:t>
            </w:r>
          </w:p>
        </w:tc>
        <w:tc>
          <w:tcPr>
            <w:tcW w:type="dxa" w:w="43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Contra el tope del borde inferior y del borde de costura derecho: la franja arranca a 25 mm</w:t>
            </w:r>
          </w:p>
        </w:tc>
      </w:tr>
      <w:tr>
        <w:trPr>
          <w:cantSplit/>
        </w:trPr>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 Programa</w:t>
            </w:r>
          </w:p>
        </w:tc>
        <w:tc>
          <w:tcPr>
            <w:tcW w:type="dxa" w:w="43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Uno por espesor (fuerza y paso del punzón); lo fija el ensayo 1.6</w:t>
            </w:r>
          </w:p>
        </w:tc>
        <w:tc>
          <w:tcPr>
            <w:tcW w:type="dxa" w:w="43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 3,2 y 4,75</w:t>
            </w:r>
          </w:p>
        </w:tc>
      </w:tr>
      <w:tr>
        <w:trPr>
          <w:cantSplit/>
        </w:trPr>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Grabado</w:t>
            </w:r>
          </w:p>
        </w:tc>
        <w:tc>
          <w:tcPr>
            <w:tcW w:type="dxa" w:w="43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 campo: la franja a lo largo del lado de 160 mm de la ventana</w:t>
            </w:r>
          </w:p>
        </w:tc>
        <w:tc>
          <w:tcPr>
            <w:tcW w:type="dxa" w:w="43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 campo (115 × 13 mm)</w:t>
            </w:r>
          </w:p>
        </w:tc>
      </w:tr>
      <w:tr>
        <w:trPr>
          <w:cantSplit/>
        </w:trPr>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 Verificación</w:t>
            </w:r>
          </w:p>
        </w:tc>
        <w:tc>
          <w:tcPr>
            <w:tcW w:type="dxa" w:w="43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Cámara fija sobre la mesa: lee el DataMatrix y compara con el número pedido</w:t>
            </w:r>
          </w:p>
        </w:tc>
        <w:tc>
          <w:tcPr>
            <w:tcW w:type="dxa" w:w="43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 o lector de mano</w:t>
            </w:r>
          </w:p>
        </w:tc>
      </w:tr>
      <w:tr>
        <w:trPr>
          <w:cantSplit/>
        </w:trPr>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 Resultado</w:t>
            </w:r>
          </w:p>
        </w:tc>
        <w:tc>
          <w:tcPr>
            <w:tcW w:type="dxa" w:w="43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Lee bien → evento CORTADO y GRABADO, atado a la hoja y al lote de chapa</w:t>
            </w:r>
          </w:p>
        </w:tc>
        <w:tc>
          <w:tcPr>
            <w:tcW w:type="dxa" w:w="43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r>
      <w:tr>
        <w:trPr>
          <w:cantSplit/>
        </w:trPr>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 Si no lee</w:t>
            </w:r>
          </w:p>
        </w:tc>
        <w:tc>
          <w:tcPr>
            <w:tcW w:type="dxa" w:w="43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 se graba encima. El número queda ANULADO con motivo; la planchuela se aparta para revisión (</w:t>
            </w:r>
            <w:r>
              <w:rPr>
                <w:rFonts w:ascii="Arial" w:cs="Arial" w:eastAsia="Arial" w:hAnsi="Arial"/>
                <w:b/>
                <w:bCs/>
                <w:color w:val="000000"/>
                <w:sz w:val="16"/>
                <w:szCs w:val="16"/>
              </w:rPr>
              <w:t xml:space="preserve">criterio</w:t>
            </w:r>
            <w:r>
              <w:rPr>
                <w:rFonts w:ascii="Arial" w:cs="Arial" w:eastAsia="Arial" w:hAnsi="Arial"/>
                <w:b w:val="false"/>
                <w:bCs w:val="false"/>
                <w:color w:val="000000"/>
                <w:sz w:val="16"/>
                <w:szCs w:val="16"/>
              </w:rPr>
              <w:t xml:space="preserve">)</w:t>
            </w:r>
          </w:p>
        </w:tc>
        <w:tc>
          <w:tcPr>
            <w:tcW w:type="dxa" w:w="43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r>
    </w:tbl>
    <w:p>
      <w:pPr>
        <w:spacing w:after="120"/>
      </w:pPr>
    </w:p>
    <w:p>
      <w:pPr>
        <w:spacing w:after="100" w:before="0" w:line="276"/>
      </w:pPr>
      <w:r>
        <w:rPr>
          <w:rFonts w:ascii="Arial" w:cs="Arial" w:eastAsia="Arial" w:hAnsi="Arial"/>
          <w:b/>
          <w:bCs/>
          <w:color w:val="000000"/>
          <w:sz w:val="19"/>
          <w:szCs w:val="19"/>
        </w:rPr>
        <w:t xml:space="preserve">Orientación en la roladora:</w:t>
      </w:r>
      <w:r>
        <w:rPr>
          <w:rFonts w:ascii="Arial" w:cs="Arial" w:eastAsia="Arial" w:hAnsi="Arial"/>
          <w:color w:val="000000"/>
          <w:sz w:val="19"/>
          <w:szCs w:val="19"/>
        </w:rPr>
        <w:t xml:space="preserve"> el grabado va hacia afuera. El operario de la roladora lo ve antes de cilindrar; si la planchuela entra al revés el grabado queda adentro y la cámara del puesto siguiente no lo encuentra: rechazo inmediato.</w:t>
      </w:r>
    </w:p>
    <w:p>
      <w:pPr>
        <w:pStyle w:val="Heading2"/>
        <w:keepNext/>
        <w:spacing w:after="80" w:before="180" w:line="276"/>
      </w:pPr>
      <w:r>
        <w:rPr>
          <w:rFonts w:ascii="Arial" w:cs="Arial" w:eastAsia="Arial" w:hAnsi="Arial"/>
          <w:color w:val="000000"/>
          <w:sz w:val="19"/>
          <w:szCs w:val="19"/>
        </w:rPr>
        <w:t xml:space="preserve">1.6 Ensayo de validación (antes de cambiar los planos)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515"/>
        <w:gridCol w:w="3030"/>
        <w:gridCol w:w="2564"/>
        <w:gridCol w:w="2797"/>
      </w:tblGrid>
      <w:tr>
        <w:trPr>
          <w:cantSplit/>
          <w:tblHeader/>
        </w:trPr>
        <w:tc>
          <w:tcPr>
            <w:tcW w:type="dxa" w:w="15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Etapa</w:t>
            </w:r>
          </w:p>
        </w:tc>
        <w:tc>
          <w:tcPr>
            <w:tcW w:type="dxa" w:w="303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se hace</w:t>
            </w:r>
          </w:p>
        </w:tc>
        <w:tc>
          <w:tcPr>
            <w:tcW w:type="dxa" w:w="256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se mide</w:t>
            </w:r>
          </w:p>
        </w:tc>
        <w:tc>
          <w:tcPr>
            <w:tcW w:type="dxa" w:w="279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Se aprueba si (criterio)</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Muestras</w:t>
            </w:r>
          </w:p>
        </w:tc>
        <w:tc>
          <w:tcPr>
            <w:tcW w:type="dxa" w:w="30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planchuelas por espesor (0,9 · 1,25 · 1,6 · 2,0 · 3,2 · 4,75)</w:t>
            </w:r>
          </w:p>
        </w:tc>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7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Grabado</w:t>
            </w:r>
          </w:p>
        </w:tc>
        <w:tc>
          <w:tcPr>
            <w:tcW w:type="dxa" w:w="30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profundidades por espesor alrededor de la tabla 1.4</w:t>
            </w:r>
          </w:p>
        </w:tc>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profundidad con comparador o perfilómetro</w:t>
            </w:r>
          </w:p>
        </w:tc>
        <w:tc>
          <w:tcPr>
            <w:tcW w:type="dxa" w:w="27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dentro de la banda</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Conformado</w:t>
            </w:r>
          </w:p>
        </w:tc>
        <w:tc>
          <w:tcPr>
            <w:tcW w:type="dxa" w:w="30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cilindrado y soldaduras como en producción</w:t>
            </w:r>
          </w:p>
        </w:tc>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lectura del DataMatrix</w:t>
            </w:r>
          </w:p>
        </w:tc>
        <w:tc>
          <w:tcPr>
            <w:tcW w:type="dxa" w:w="27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lee al primer intento</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Prueba hidráulica</w:t>
            </w:r>
          </w:p>
        </w:tc>
        <w:tc>
          <w:tcPr>
            <w:tcW w:type="dxa" w:w="30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 la presión de ensayo, 1 min (DOC-02 R3)</w:t>
            </w:r>
          </w:p>
        </w:tc>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deformación en la franja</w:t>
            </w:r>
          </w:p>
        </w:tc>
        <w:tc>
          <w:tcPr>
            <w:tcW w:type="dxa" w:w="27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ninguna visible</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Granallado y pintura</w:t>
            </w:r>
          </w:p>
        </w:tc>
        <w:tc>
          <w:tcPr>
            <w:tcW w:type="dxa" w:w="30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como en producción (DOC-01)</w:t>
            </w:r>
          </w:p>
        </w:tc>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lectura y legibilidad del texto</w:t>
            </w:r>
          </w:p>
        </w:tc>
        <w:tc>
          <w:tcPr>
            <w:tcW w:type="dxa" w:w="27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lee; texto legible a simple vista</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Repintado</w:t>
            </w:r>
          </w:p>
        </w:tc>
        <w:tc>
          <w:tcPr>
            <w:tcW w:type="dxa" w:w="30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una segunda mano encima (simula 9.10)</w:t>
            </w:r>
          </w:p>
        </w:tc>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lectura</w:t>
            </w:r>
          </w:p>
        </w:tc>
        <w:tc>
          <w:tcPr>
            <w:tcW w:type="dxa" w:w="27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sigue leyendo</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Resultado</w:t>
            </w:r>
          </w:p>
        </w:tc>
        <w:tc>
          <w:tcPr>
            <w:tcW w:type="dxa" w:w="30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fija la profundidad y el programa por espesor</w:t>
            </w:r>
          </w:p>
        </w:tc>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7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pasa a ser valor de ficha</w:t>
            </w:r>
          </w:p>
        </w:tc>
      </w:tr>
    </w:tbl>
    <w:p>
      <w:pPr>
        <w:spacing w:after="120"/>
      </w:pPr>
    </w:p>
    <w:p>
      <w:pPr>
        <w:pStyle w:val="Heading1"/>
        <w:keepNext/>
        <w:spacing w:after="120" w:before="240" w:line="276"/>
      </w:pPr>
      <w:r>
        <w:rPr>
          <w:rFonts w:ascii="Arial" w:cs="Arial" w:eastAsia="Arial" w:hAnsi="Arial"/>
          <w:color w:val="000000"/>
          <w:sz w:val="19"/>
          <w:szCs w:val="19"/>
        </w:rPr>
        <w:t xml:space="preserve">2. Trazabilidad intraplanta: del grabado al embalado</w:t>
      </w:r>
    </w:p>
    <w:p>
      <w:pPr>
        <w:pStyle w:val="Heading2"/>
        <w:keepNext/>
        <w:spacing w:after="80" w:before="180" w:line="276"/>
      </w:pPr>
      <w:r>
        <w:rPr>
          <w:rFonts w:ascii="Arial" w:cs="Arial" w:eastAsia="Arial" w:hAnsi="Arial"/>
          <w:color w:val="000000"/>
          <w:sz w:val="19"/>
          <w:szCs w:val="19"/>
        </w:rPr>
        <w:t xml:space="preserve">2.1 La estación barata de cada puesto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39"/>
        <w:gridCol w:w="4662"/>
        <w:gridCol w:w="3205"/>
      </w:tblGrid>
      <w:tr>
        <w:trPr>
          <w:cantSplit/>
          <w:tblHeader/>
        </w:trPr>
        <w:tc>
          <w:tcPr>
            <w:tcW w:type="dxa" w:w="203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Componente</w:t>
            </w:r>
          </w:p>
        </w:tc>
        <w:tc>
          <w:tcPr>
            <w:tcW w:type="dxa" w:w="466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es</w:t>
            </w:r>
          </w:p>
        </w:tc>
        <w:tc>
          <w:tcPr>
            <w:tcW w:type="dxa" w:w="320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Por qué</w:t>
            </w:r>
          </w:p>
        </w:tc>
      </w:tr>
      <w:tr>
        <w:trPr>
          <w:cantSplit/>
        </w:trPr>
        <w:tc>
          <w:tcPr>
            <w:tcW w:type="dxa" w:w="203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Celular o tablet Android en soporte</w:t>
            </w:r>
          </w:p>
        </w:tc>
        <w:tc>
          <w:tcPr>
            <w:tcW w:type="dxa" w:w="46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pantalla del puesto</w:t>
            </w:r>
          </w:p>
        </w:tc>
        <w:tc>
          <w:tcPr>
            <w:tcW w:type="dxa" w:w="32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Barato, se cambia en el día</w:t>
            </w:r>
          </w:p>
        </w:tc>
      </w:tr>
      <w:tr>
        <w:trPr>
          <w:cantSplit/>
        </w:trPr>
        <w:tc>
          <w:tcPr>
            <w:tcW w:type="dxa" w:w="203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Lector</w:t>
            </w:r>
          </w:p>
        </w:tc>
        <w:tc>
          <w:tcPr>
            <w:tcW w:type="dxa" w:w="46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Cámara del celular con </w:t>
            </w:r>
            <w:hyperlink w:history="1" r:id="rIdmsv1hfm9gofbcjpyzrmvx">
              <w:r>
                <w:rPr>
                  <w:rFonts w:ascii="Arial" w:cs="Arial" w:eastAsia="Arial" w:hAnsi="Arial"/>
                  <w:color w:val="1F1F1F"/>
                  <w:sz w:val="16"/>
                  <w:szCs w:val="16"/>
                  <w:u w:val="single"/>
                </w:rPr>
                <w:t xml:space="preserve">zxing-cpp</w:t>
              </w:r>
            </w:hyperlink>
            <w:r>
              <w:rPr>
                <w:rFonts w:ascii="Arial" w:cs="Arial" w:eastAsia="Arial" w:hAnsi="Arial"/>
                <w:b w:val="false"/>
                <w:bCs w:val="false"/>
                <w:color w:val="000000"/>
                <w:sz w:val="16"/>
                <w:szCs w:val="16"/>
              </w:rPr>
              <w:t xml:space="preserve"> o </w:t>
            </w:r>
            <w:hyperlink w:history="1" r:id="rIdrpyspzjnseouppdxk_fba">
              <w:r>
                <w:rPr>
                  <w:rFonts w:ascii="Arial" w:cs="Arial" w:eastAsia="Arial" w:hAnsi="Arial"/>
                  <w:color w:val="1F1F1F"/>
                  <w:sz w:val="16"/>
                  <w:szCs w:val="16"/>
                  <w:u w:val="single"/>
                </w:rPr>
                <w:t xml:space="preserve">libdmtx</w:t>
              </w:r>
            </w:hyperlink>
            <w:r>
              <w:rPr>
                <w:rFonts w:ascii="Arial" w:cs="Arial" w:eastAsia="Arial" w:hAnsi="Arial"/>
                <w:b w:val="false"/>
                <w:bCs w:val="false"/>
                <w:color w:val="000000"/>
                <w:sz w:val="16"/>
                <w:szCs w:val="16"/>
              </w:rPr>
              <w:t xml:space="preserve">; lector DPM de mano donde la cámara no lea (lo dice el ensayo 1.6)</w:t>
            </w:r>
          </w:p>
        </w:tc>
        <w:tc>
          <w:tcPr>
            <w:tcW w:type="dxa" w:w="32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código grabado tiene poco contraste</w:t>
            </w:r>
          </w:p>
        </w:tc>
      </w:tr>
      <w:tr>
        <w:trPr>
          <w:cantSplit/>
        </w:trPr>
        <w:tc>
          <w:tcPr>
            <w:tcW w:type="dxa" w:w="203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App</w:t>
            </w:r>
          </w:p>
        </w:tc>
        <w:tc>
          <w:tcPr>
            <w:tcW w:type="dxa" w:w="46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AppSheet sobre Google Sheets (FLAMA ya trabaja en Sheets); funciona sin conexión y sincroniza</w:t>
            </w:r>
          </w:p>
        </w:tc>
        <w:tc>
          <w:tcPr>
            <w:tcW w:type="dxa" w:w="32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programar ni servidores</w:t>
            </w:r>
          </w:p>
        </w:tc>
      </w:tr>
      <w:tr>
        <w:trPr>
          <w:cantSplit/>
        </w:trPr>
        <w:tc>
          <w:tcPr>
            <w:tcW w:type="dxa" w:w="203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Integración</w:t>
            </w:r>
          </w:p>
        </w:tc>
        <w:tc>
          <w:tcPr>
            <w:tcW w:type="dxa" w:w="46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Balanza de carga, banco de PH y manómetro patrón por USB o carga manual</w:t>
            </w:r>
          </w:p>
        </w:tc>
        <w:tc>
          <w:tcPr>
            <w:tcW w:type="dxa" w:w="32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dato entra sin tipear donde se puede</w:t>
            </w:r>
          </w:p>
        </w:tc>
      </w:tr>
      <w:tr>
        <w:trPr>
          <w:cantSplit/>
        </w:trPr>
        <w:tc>
          <w:tcPr>
            <w:tcW w:type="dxa" w:w="203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Ficha del modelo</w:t>
            </w:r>
          </w:p>
        </w:tc>
        <w:tc>
          <w:tcPr>
            <w:tcW w:type="dxa" w:w="46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Tabla FICHAS: modelo, revisión, puesto, parámetro, mínimo, máximo, unidad, fuente</w:t>
            </w:r>
          </w:p>
        </w:tc>
        <w:tc>
          <w:tcPr>
            <w:tcW w:type="dxa" w:w="32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operario ve qué tiene que cumplir el equipo que tiene en la mano</w:t>
            </w:r>
          </w:p>
        </w:tc>
      </w:tr>
    </w:tbl>
    <w:p>
      <w:pPr>
        <w:spacing w:after="120"/>
      </w:pPr>
    </w:p>
    <w:p>
      <w:pPr>
        <w:keepNext/>
        <w:spacing w:after="60"/>
        <w:jc w:val="center"/>
      </w:pPr>
      <w:r>
        <w:drawing>
          <wp:inline distT="0" distB="0" distL="0" distR="0">
            <wp:extent cx="5943600" cy="32289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43600" cy="322897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Tres pantallas de ejemplo (datos inventados): puesto 14, puesto 24 y recepción en recargas.</w:t>
      </w:r>
    </w:p>
    <w:p>
      <w:pPr>
        <w:spacing w:after="100" w:before="0" w:line="276"/>
      </w:pPr>
      <w:r>
        <w:rPr>
          <w:rFonts w:ascii="Arial" w:cs="Arial" w:eastAsia="Arial" w:hAnsi="Arial"/>
          <w:b/>
          <w:bCs/>
          <w:color w:val="000000"/>
          <w:sz w:val="19"/>
          <w:szCs w:val="19"/>
        </w:rPr>
        <w:t xml:space="preserve">Cómo trabaja el operario:</w:t>
      </w:r>
      <w:r>
        <w:rPr>
          <w:rFonts w:ascii="Arial" w:cs="Arial" w:eastAsia="Arial" w:hAnsi="Arial"/>
          <w:color w:val="000000"/>
          <w:sz w:val="19"/>
          <w:szCs w:val="19"/>
        </w:rPr>
        <w:t xml:space="preserve"> lee el grabado → la app muestra modelo, estado y la ficha del puesto → completa o toma los valores → la app compara con la regla → si cumple pasa al estado siguiente; si no, pide motivo y foto y lo manda a RECHAZO. Cada lectura queda como evento en el legajo del equipo.</w:t>
      </w:r>
    </w:p>
    <w:p>
      <w:pPr>
        <w:pStyle w:val="Heading2"/>
        <w:keepNext/>
        <w:spacing w:after="80" w:before="180" w:line="276"/>
      </w:pPr>
      <w:r>
        <w:rPr>
          <w:rFonts w:ascii="Arial" w:cs="Arial" w:eastAsia="Arial" w:hAnsi="Arial"/>
          <w:color w:val="000000"/>
          <w:sz w:val="19"/>
          <w:szCs w:val="19"/>
        </w:rPr>
        <w:t xml:space="preserve">2.2 Estados y compuertas</w:t>
      </w:r>
    </w:p>
    <w:p>
      <w:pPr>
        <w:keepNext/>
        <w:spacing w:after="60"/>
        <w:jc w:val="center"/>
      </w:pPr>
      <w:r>
        <w:drawing>
          <wp:inline distT="0" distB="0" distL="0" distR="0">
            <wp:extent cx="5943600" cy="24384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43600" cy="24384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Estados del recipiente. Las compuertas (GATE) bloquean el paso si la ficha no se cumple.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98"/>
        <w:gridCol w:w="5244"/>
        <w:gridCol w:w="2564"/>
      </w:tblGrid>
      <w:tr>
        <w:trPr>
          <w:cantSplit/>
          <w:tblHeader/>
        </w:trPr>
        <w:tc>
          <w:tcPr>
            <w:tcW w:type="dxa" w:w="20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Estado</w:t>
            </w:r>
          </w:p>
        </w:tc>
        <w:tc>
          <w:tcPr>
            <w:tcW w:type="dxa" w:w="524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Entra cuando</w:t>
            </w:r>
          </w:p>
        </w:tc>
        <w:tc>
          <w:tcPr>
            <w:tcW w:type="dxa" w:w="256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Puede salir a</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CORTADO y GRABADO</w:t>
            </w:r>
          </w:p>
        </w:tc>
        <w:tc>
          <w:tcPr>
            <w:tcW w:type="dxa" w:w="524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cámara lee el DataMatrix recién grabado</w:t>
            </w:r>
          </w:p>
        </w:tc>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CONFORMADO · ANULADO</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CONFORMADO</w:t>
            </w:r>
          </w:p>
        </w:tc>
        <w:tc>
          <w:tcPr>
            <w:tcW w:type="dxa" w:w="524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cilindrado, soldaduras y armado registrados con sus lotes</w:t>
            </w:r>
          </w:p>
        </w:tc>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PROBADO · RECHAZO</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PROBADO (GATE)</w:t>
            </w:r>
          </w:p>
        </w:tc>
        <w:tc>
          <w:tcPr>
            <w:tcW w:type="dxa" w:w="524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espesor ≥ mínimo y PH aprobada</w:t>
            </w:r>
          </w:p>
        </w:tc>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TERMINADO · ANULADO</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TERMINADO</w:t>
            </w:r>
          </w:p>
        </w:tc>
        <w:tc>
          <w:tcPr>
            <w:tcW w:type="dxa" w:w="524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granallado, defectos corregidos y pintura con lote</w:t>
            </w:r>
          </w:p>
        </w:tc>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CARGADO · CILINDRO VACÍO</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CARGADO</w:t>
            </w:r>
          </w:p>
        </w:tc>
        <w:tc>
          <w:tcPr>
            <w:tcW w:type="dxa" w:w="524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masa y presión dentro de la ficha</w:t>
            </w:r>
          </w:p>
        </w:tc>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APROBADO · RECHAZO</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APROBADO (GATE)</w:t>
            </w:r>
          </w:p>
        </w:tc>
        <w:tc>
          <w:tcPr>
            <w:tcW w:type="dxa" w:w="524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pérdidas (y a las 24 h, criterio FLAMA de DOC-02 R8)</w:t>
            </w:r>
          </w:p>
        </w:tc>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IDENTIFICADO</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IDENTIFICADO (GATE)</w:t>
            </w:r>
          </w:p>
        </w:tc>
        <w:tc>
          <w:tcPr>
            <w:tcW w:type="dxa" w:w="524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QR pegado se lee y es igual al grabado</w:t>
            </w:r>
          </w:p>
        </w:tc>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EMBALADO</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EMBALADO</w:t>
            </w:r>
          </w:p>
        </w:tc>
        <w:tc>
          <w:tcPr>
            <w:tcW w:type="dxa" w:w="524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serie dentro de una caja y la caja en un pallet (SSCC)</w:t>
            </w:r>
          </w:p>
        </w:tc>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DESPACHADO (sección 3)</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RECHAZO</w:t>
            </w:r>
          </w:p>
        </w:tc>
        <w:tc>
          <w:tcPr>
            <w:tcW w:type="dxa" w:w="524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 control no cumple</w:t>
            </w:r>
          </w:p>
        </w:tc>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vuelve al puesto (retrabajo) o ANULADO</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ANULADO</w:t>
            </w:r>
          </w:p>
        </w:tc>
        <w:tc>
          <w:tcPr>
            <w:tcW w:type="dxa" w:w="524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 se puede recuperar; el número queda registrado con motivo</w:t>
            </w:r>
          </w:p>
        </w:tc>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(chatarra)</w:t>
            </w:r>
          </w:p>
        </w:tc>
      </w:tr>
    </w:tbl>
    <w:p>
      <w:pPr>
        <w:spacing w:after="120"/>
      </w:pPr>
    </w:p>
    <w:p>
      <w:pPr>
        <w:pStyle w:val="Heading2"/>
        <w:keepNext/>
        <w:spacing w:after="80" w:before="180" w:line="276"/>
      </w:pPr>
      <w:r>
        <w:rPr>
          <w:rFonts w:ascii="Arial" w:cs="Arial" w:eastAsia="Arial" w:hAnsi="Arial"/>
          <w:color w:val="000000"/>
          <w:sz w:val="19"/>
          <w:szCs w:val="19"/>
        </w:rPr>
        <w:t xml:space="preserve">2.3 Ficha por puesto: manuales</w:t>
      </w:r>
    </w:p>
    <w:p>
      <w:pPr>
        <w:spacing w:after="100" w:before="0" w:line="276"/>
      </w:pPr>
      <w:r>
        <w:rPr>
          <w:rFonts w:ascii="Arial" w:cs="Arial" w:eastAsia="Arial" w:hAnsi="Arial"/>
          <w:color w:val="000000"/>
          <w:sz w:val="19"/>
          <w:szCs w:val="19"/>
        </w:rPr>
        <w:t xml:space="preserve">Las reglas salen de DOC-02 «Ensayos de fabricación ABC» (R1 a R9) y del catálogo de los planos. Lo que no tiene norma se marca criterio.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65"/>
        <w:gridCol w:w="1282"/>
        <w:gridCol w:w="2447"/>
        <w:gridCol w:w="2680"/>
        <w:gridCol w:w="1632"/>
      </w:tblGrid>
      <w:tr>
        <w:trPr>
          <w:cantSplit/>
          <w:tblHeader/>
        </w:trPr>
        <w:tc>
          <w:tcPr>
            <w:tcW w:type="dxa" w:w="186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Puesto</w:t>
            </w:r>
          </w:p>
        </w:tc>
        <w:tc>
          <w:tcPr>
            <w:tcW w:type="dxa" w:w="128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Lee</w:t>
            </w:r>
          </w:p>
        </w:tc>
        <w:tc>
          <w:tcPr>
            <w:tcW w:type="dxa" w:w="244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Registra</w:t>
            </w:r>
          </w:p>
        </w:tc>
        <w:tc>
          <w:tcPr>
            <w:tcW w:type="dxa" w:w="268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Regla y fuente</w:t>
            </w:r>
          </w:p>
        </w:tc>
        <w:tc>
          <w:tcPr>
            <w:tcW w:type="dxa" w:w="16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Si no cumple</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Recepción de chapa</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remito</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proveedor, colada, espesor, certificado</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espesor ≥ nominal del plano (DOC-02 R1)</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retenido</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Corte G2 + Pannier</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bCs/>
                <w:color w:val="000000"/>
                <w:sz w:val="16"/>
                <w:szCs w:val="16"/>
              </w:rPr>
              <w:t xml:space="preserve">nace el serie</w:t>
            </w:r>
            <w:r>
              <w:rPr>
                <w:rFonts w:ascii="Arial" w:cs="Arial" w:eastAsia="Arial" w:hAnsi="Arial"/>
                <w:b w:val="false"/>
                <w:bCs w:val="false"/>
                <w:color w:val="000000"/>
                <w:sz w:val="16"/>
                <w:szCs w:val="16"/>
              </w:rPr>
              <w:t xml:space="preserve">: modelo, hoja, lote, programa de grabado</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lectura OK (1.5)</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ANULADO</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 a 7 Disco, cuello y cúpula</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carro de cúpulas</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de cúpulas (ya no se numera la cúpula), lote de cuellos</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embutido y soldadura sin defectos</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retenido</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 Cilindrado</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grabado</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máquina, operario</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modelo = matriz cargada; grabado hacia afuera</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RECHAZO</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 Soldadura longitudinal</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grabado</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soldador, lote de alambre y gas</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visual ISO 5817 nivel C (DOC-02 R2)</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RECHAZO</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 a 12 Encastre, bordón, soldadura circunferencial</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grabado + lote de cúpula y de fondo</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bCs/>
                <w:color w:val="000000"/>
                <w:sz w:val="16"/>
                <w:szCs w:val="16"/>
              </w:rPr>
              <w:t xml:space="preserve">agregación</w:t>
            </w:r>
            <w:r>
              <w:rPr>
                <w:rFonts w:ascii="Arial" w:cs="Arial" w:eastAsia="Arial" w:hAnsi="Arial"/>
                <w:b w:val="false"/>
                <w:bCs w:val="false"/>
                <w:color w:val="000000"/>
                <w:sz w:val="16"/>
                <w:szCs w:val="16"/>
              </w:rPr>
              <w:t xml:space="preserve"> serie ← cúpula ← fondo; soldador</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 R2</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RECHAZO</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13 Control de espesor</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grabado</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espesores medidos</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espesor del plano</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bCs/>
                <w:color w:val="000000"/>
                <w:sz w:val="16"/>
                <w:szCs w:val="16"/>
              </w:rPr>
              <w:t xml:space="preserve">GATE</w:t>
            </w:r>
            <w:r>
              <w:rPr>
                <w:rFonts w:ascii="Arial" w:cs="Arial" w:eastAsia="Arial" w:hAnsi="Arial"/>
                <w:b w:val="false"/>
                <w:bCs w:val="false"/>
                <w:color w:val="000000"/>
                <w:sz w:val="16"/>
                <w:szCs w:val="16"/>
              </w:rPr>
              <w:t xml:space="preserve">: ANULADO</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14 Prueba hidráulica</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grabado</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presión, tiempo, resultado, banco y patrón</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3,5 MPa durante 1 min, sin caída, pérdidas ni deformación (DOC-02 R3; IRAM 3517-2 9.7.5.2)</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bCs/>
                <w:color w:val="000000"/>
                <w:sz w:val="16"/>
                <w:szCs w:val="16"/>
              </w:rPr>
              <w:t xml:space="preserve">GATE</w:t>
            </w:r>
            <w:r>
              <w:rPr>
                <w:rFonts w:ascii="Arial" w:cs="Arial" w:eastAsia="Arial" w:hAnsi="Arial"/>
                <w:b w:val="false"/>
                <w:bCs w:val="false"/>
                <w:color w:val="000000"/>
                <w:sz w:val="16"/>
                <w:szCs w:val="16"/>
              </w:rPr>
              <w:t xml:space="preserve">: ANULADO</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 Secado</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grabado</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tiempo, control con cámara</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agua ni condensado (R4; 9.8.2)</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repetir</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16 Granallado · 17 Defectos · 18 Corrección</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grabado + foto</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defectos detectados y corregidos</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poros ni golpes; decide el operario</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RECHAZO</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19 Pintura</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grabado al colgar</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de pintura, horno</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espesor y adherencia (R5, DOC-01)</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repintar</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19 Descarga</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grabado</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destino: carga o cilindro vacío</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20 Carga</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grabado</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de polvo, masa (balanza)</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masa nominal con su tolerancia (tabla 2.4; R6)</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corregir</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21 Ensamblaje</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grabado</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 o lote de válvula y manómetro, tubo de pesca</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componentes del BOM</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corregir</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22 Presurización</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grabado</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presión</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N₂ seco a 1,4 MPa a 20 °C; aguja en verde (R7)</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corregir</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23 Pérdidas</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grabado</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resultado; control a 24 h</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pérdida (R8; 9.4.10)</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bCs/>
                <w:color w:val="000000"/>
                <w:sz w:val="16"/>
                <w:szCs w:val="16"/>
              </w:rPr>
              <w:t xml:space="preserve">GATE</w:t>
            </w:r>
            <w:r>
              <w:rPr>
                <w:rFonts w:ascii="Arial" w:cs="Arial" w:eastAsia="Arial" w:hAnsi="Arial"/>
                <w:b w:val="false"/>
                <w:bCs w:val="false"/>
                <w:color w:val="000000"/>
                <w:sz w:val="16"/>
                <w:szCs w:val="16"/>
              </w:rPr>
              <w:t xml:space="preserve">: RECHAZO</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24 Etiquetado</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grabado</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con QR impresa leyendo el grabado; sello IRAM, oblea PBA, precinto, masa final</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QR = grabado; masa total en tolerancia (R9)</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bCs/>
                <w:color w:val="000000"/>
                <w:sz w:val="16"/>
                <w:szCs w:val="16"/>
              </w:rPr>
              <w:t xml:space="preserve">GATE</w:t>
            </w:r>
            <w:r>
              <w:rPr>
                <w:rFonts w:ascii="Arial" w:cs="Arial" w:eastAsia="Arial" w:hAnsi="Arial"/>
                <w:b w:val="false"/>
                <w:bCs w:val="false"/>
                <w:color w:val="000000"/>
                <w:sz w:val="16"/>
                <w:szCs w:val="16"/>
              </w:rPr>
              <w:t xml:space="preserve">: reimprimir</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Embalaje</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QR</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 pallet (SSCC)</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cantidad del pallet</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corregir</w:t>
            </w:r>
          </w:p>
        </w:tc>
      </w:tr>
    </w:tbl>
    <w:p>
      <w:pPr>
        <w:spacing w:after="120"/>
      </w:pPr>
    </w:p>
    <w:p>
      <w:pPr>
        <w:pStyle w:val="Heading2"/>
        <w:keepNext/>
        <w:spacing w:after="80" w:before="180" w:line="276"/>
      </w:pPr>
      <w:r>
        <w:rPr>
          <w:rFonts w:ascii="Arial" w:cs="Arial" w:eastAsia="Arial" w:hAnsi="Arial"/>
          <w:color w:val="000000"/>
          <w:sz w:val="19"/>
          <w:szCs w:val="19"/>
        </w:rPr>
        <w:t xml:space="preserve">2.4 Valores de ficha por modelo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238"/>
        <w:gridCol w:w="1362"/>
        <w:gridCol w:w="1610"/>
        <w:gridCol w:w="1486"/>
        <w:gridCol w:w="1424"/>
        <w:gridCol w:w="1424"/>
        <w:gridCol w:w="1362"/>
      </w:tblGrid>
      <w:tr>
        <w:trPr>
          <w:cantSplit/>
          <w:tblHeader/>
        </w:trPr>
        <w:tc>
          <w:tcPr>
            <w:tcW w:type="dxa" w:w="123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Modelo</w:t>
            </w:r>
          </w:p>
        </w:tc>
        <w:tc>
          <w:tcPr>
            <w:tcW w:type="dxa" w:w="136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Carga nominal</w:t>
            </w:r>
          </w:p>
        </w:tc>
        <w:tc>
          <w:tcPr>
            <w:tcW w:type="dxa" w:w="161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Tolerancia de carga</w:t>
            </w:r>
          </w:p>
        </w:tc>
        <w:tc>
          <w:tcPr>
            <w:tcW w:type="dxa" w:w="148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Masa total (catálogo)</w:t>
            </w:r>
          </w:p>
        </w:tc>
        <w:tc>
          <w:tcPr>
            <w:tcW w:type="dxa" w:w="142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Presión de servicio</w:t>
            </w:r>
          </w:p>
        </w:tc>
        <w:tc>
          <w:tcPr>
            <w:tcW w:type="dxa" w:w="142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Presión de ensayo</w:t>
            </w:r>
          </w:p>
        </w:tc>
        <w:tc>
          <w:tcPr>
            <w:tcW w:type="dxa" w:w="136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Descarga</w:t>
            </w:r>
          </w:p>
        </w:tc>
      </w:tr>
      <w:tr>
        <w:trPr>
          <w:cantSplit/>
        </w:trPr>
        <w:tc>
          <w:tcPr>
            <w:tcW w:type="dxa" w:w="123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kg</w:t>
            </w:r>
          </w:p>
        </w:tc>
        <w:tc>
          <w:tcPr>
            <w:tcW w:type="dxa" w:w="13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kg</w:t>
            </w:r>
          </w:p>
        </w:tc>
        <w:tc>
          <w:tcPr>
            <w:tcW w:type="dxa" w:w="16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 / +100 g</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1,90 kg</w:t>
            </w:r>
          </w:p>
        </w:tc>
        <w:tc>
          <w:tcPr>
            <w:tcW w:type="dxa" w:w="14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1,4 MPa</w:t>
            </w:r>
          </w:p>
        </w:tc>
        <w:tc>
          <w:tcPr>
            <w:tcW w:type="dxa" w:w="14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3,5 MPa</w:t>
            </w:r>
          </w:p>
        </w:tc>
        <w:tc>
          <w:tcPr>
            <w:tcW w:type="dxa" w:w="13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8 s</w:t>
            </w:r>
          </w:p>
        </w:tc>
      </w:tr>
      <w:tr>
        <w:trPr>
          <w:cantSplit/>
        </w:trPr>
        <w:tc>
          <w:tcPr>
            <w:tcW w:type="dxa" w:w="123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w:t>
            </w:r>
          </w:p>
        </w:tc>
        <w:tc>
          <w:tcPr>
            <w:tcW w:type="dxa" w:w="13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w:t>
            </w:r>
          </w:p>
        </w:tc>
        <w:tc>
          <w:tcPr>
            <w:tcW w:type="dxa" w:w="16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 / +100 g</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4,60 kg</w:t>
            </w:r>
          </w:p>
        </w:tc>
        <w:tc>
          <w:tcPr>
            <w:tcW w:type="dxa" w:w="14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1,4 MPa</w:t>
            </w:r>
          </w:p>
        </w:tc>
        <w:tc>
          <w:tcPr>
            <w:tcW w:type="dxa" w:w="14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3,5 MPa</w:t>
            </w:r>
          </w:p>
        </w:tc>
        <w:tc>
          <w:tcPr>
            <w:tcW w:type="dxa" w:w="13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8 s</w:t>
            </w:r>
          </w:p>
        </w:tc>
      </w:tr>
      <w:tr>
        <w:trPr>
          <w:cantSplit/>
        </w:trPr>
        <w:tc>
          <w:tcPr>
            <w:tcW w:type="dxa" w:w="123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kg</w:t>
            </w:r>
          </w:p>
        </w:tc>
        <w:tc>
          <w:tcPr>
            <w:tcW w:type="dxa" w:w="13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kg</w:t>
            </w:r>
          </w:p>
        </w:tc>
        <w:tc>
          <w:tcPr>
            <w:tcW w:type="dxa" w:w="16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 / +300 g</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8,50 kg</w:t>
            </w:r>
          </w:p>
        </w:tc>
        <w:tc>
          <w:tcPr>
            <w:tcW w:type="dxa" w:w="14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1,4 MPa</w:t>
            </w:r>
          </w:p>
        </w:tc>
        <w:tc>
          <w:tcPr>
            <w:tcW w:type="dxa" w:w="14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3,5 MPa</w:t>
            </w:r>
          </w:p>
        </w:tc>
        <w:tc>
          <w:tcPr>
            <w:tcW w:type="dxa" w:w="13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8 s</w:t>
            </w:r>
          </w:p>
        </w:tc>
      </w:tr>
      <w:tr>
        <w:trPr>
          <w:cantSplit/>
        </w:trPr>
        <w:tc>
          <w:tcPr>
            <w:tcW w:type="dxa" w:w="123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 kg</w:t>
            </w:r>
          </w:p>
        </w:tc>
        <w:tc>
          <w:tcPr>
            <w:tcW w:type="dxa" w:w="13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 kg</w:t>
            </w:r>
          </w:p>
        </w:tc>
        <w:tc>
          <w:tcPr>
            <w:tcW w:type="dxa" w:w="16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 / +300 g</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16,50 kg</w:t>
            </w:r>
          </w:p>
        </w:tc>
        <w:tc>
          <w:tcPr>
            <w:tcW w:type="dxa" w:w="14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1,4 MPa</w:t>
            </w:r>
          </w:p>
        </w:tc>
        <w:tc>
          <w:tcPr>
            <w:tcW w:type="dxa" w:w="14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3,5 MPa</w:t>
            </w:r>
          </w:p>
        </w:tc>
        <w:tc>
          <w:tcPr>
            <w:tcW w:type="dxa" w:w="13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8 s</w:t>
            </w:r>
          </w:p>
        </w:tc>
      </w:tr>
      <w:tr>
        <w:trPr>
          <w:cantSplit/>
        </w:trPr>
        <w:tc>
          <w:tcPr>
            <w:tcW w:type="dxa" w:w="123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w:t>
            </w:r>
          </w:p>
        </w:tc>
        <w:tc>
          <w:tcPr>
            <w:tcW w:type="dxa" w:w="13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w:t>
            </w:r>
          </w:p>
        </w:tc>
        <w:tc>
          <w:tcPr>
            <w:tcW w:type="dxa" w:w="16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3 %</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55 kg</w:t>
            </w:r>
          </w:p>
        </w:tc>
        <w:tc>
          <w:tcPr>
            <w:tcW w:type="dxa" w:w="14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1,4 MPa</w:t>
            </w:r>
          </w:p>
        </w:tc>
        <w:tc>
          <w:tcPr>
            <w:tcW w:type="dxa" w:w="14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4,0 MPa</w:t>
            </w:r>
          </w:p>
        </w:tc>
        <w:tc>
          <w:tcPr>
            <w:tcW w:type="dxa" w:w="13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10 s</w:t>
            </w:r>
          </w:p>
        </w:tc>
      </w:tr>
      <w:tr>
        <w:trPr>
          <w:cantSplit/>
        </w:trPr>
        <w:tc>
          <w:tcPr>
            <w:tcW w:type="dxa" w:w="123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50 kg</w:t>
            </w:r>
          </w:p>
        </w:tc>
        <w:tc>
          <w:tcPr>
            <w:tcW w:type="dxa" w:w="13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50 kg</w:t>
            </w:r>
          </w:p>
        </w:tc>
        <w:tc>
          <w:tcPr>
            <w:tcW w:type="dxa" w:w="16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3 %</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93 kg</w:t>
            </w:r>
          </w:p>
        </w:tc>
        <w:tc>
          <w:tcPr>
            <w:tcW w:type="dxa" w:w="14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1,4 MPa</w:t>
            </w:r>
          </w:p>
        </w:tc>
        <w:tc>
          <w:tcPr>
            <w:tcW w:type="dxa" w:w="14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4,0 MPa</w:t>
            </w:r>
          </w:p>
        </w:tc>
        <w:tc>
          <w:tcPr>
            <w:tcW w:type="dxa" w:w="13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15 s</w:t>
            </w:r>
          </w:p>
        </w:tc>
      </w:tr>
      <w:tr>
        <w:trPr>
          <w:cantSplit/>
        </w:trPr>
        <w:tc>
          <w:tcPr>
            <w:tcW w:type="dxa" w:w="123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70 kg</w:t>
            </w:r>
          </w:p>
        </w:tc>
        <w:tc>
          <w:tcPr>
            <w:tcW w:type="dxa" w:w="13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70 kg</w:t>
            </w:r>
          </w:p>
        </w:tc>
        <w:tc>
          <w:tcPr>
            <w:tcW w:type="dxa" w:w="16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3 %</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125 kg</w:t>
            </w:r>
          </w:p>
        </w:tc>
        <w:tc>
          <w:tcPr>
            <w:tcW w:type="dxa" w:w="14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1,4 MPa</w:t>
            </w:r>
          </w:p>
        </w:tc>
        <w:tc>
          <w:tcPr>
            <w:tcW w:type="dxa" w:w="14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4,0 MPa</w:t>
            </w:r>
          </w:p>
        </w:tc>
        <w:tc>
          <w:tcPr>
            <w:tcW w:type="dxa" w:w="13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15 s</w:t>
            </w:r>
          </w:p>
        </w:tc>
      </w:tr>
      <w:tr>
        <w:trPr>
          <w:cantSplit/>
        </w:trPr>
        <w:tc>
          <w:tcPr>
            <w:tcW w:type="dxa" w:w="123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kg</w:t>
            </w:r>
          </w:p>
        </w:tc>
        <w:tc>
          <w:tcPr>
            <w:tcW w:type="dxa" w:w="13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kg</w:t>
            </w:r>
          </w:p>
        </w:tc>
        <w:tc>
          <w:tcPr>
            <w:tcW w:type="dxa" w:w="16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3 %</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180 kg</w:t>
            </w:r>
          </w:p>
        </w:tc>
        <w:tc>
          <w:tcPr>
            <w:tcW w:type="dxa" w:w="14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1,4 MPa</w:t>
            </w:r>
          </w:p>
        </w:tc>
        <w:tc>
          <w:tcPr>
            <w:tcW w:type="dxa" w:w="14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4,0 MPa</w:t>
            </w:r>
          </w:p>
        </w:tc>
        <w:tc>
          <w:tcPr>
            <w:tcW w:type="dxa" w:w="13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30 s</w:t>
            </w:r>
          </w:p>
        </w:tc>
      </w:tr>
    </w:tbl>
    <w:p>
      <w:pPr>
        <w:spacing w:after="120"/>
      </w:pPr>
    </w:p>
    <w:p>
      <w:pPr>
        <w:spacing w:after="100" w:before="0" w:line="276"/>
      </w:pPr>
      <w:r>
        <w:rPr>
          <w:rFonts w:ascii="Arial" w:cs="Arial" w:eastAsia="Arial" w:hAnsi="Arial"/>
          <w:color w:val="000000"/>
          <w:sz w:val="19"/>
          <w:szCs w:val="19"/>
        </w:rPr>
        <w:t xml:space="preserve">Fuentes: catálogo de los planos (masa total, presiones); IRAM 3517-2 tabla 3 y DOC-02 (tolerancia y descarga, que se ensaya por lote: DOC-02 L3).</w:t>
      </w:r>
    </w:p>
    <w:p>
      <w:pPr>
        <w:pStyle w:val="Heading2"/>
        <w:keepNext/>
        <w:spacing w:after="80" w:before="180" w:line="276"/>
      </w:pPr>
      <w:r>
        <w:rPr>
          <w:rFonts w:ascii="Arial" w:cs="Arial" w:eastAsia="Arial" w:hAnsi="Arial"/>
          <w:color w:val="000000"/>
          <w:sz w:val="19"/>
          <w:szCs w:val="19"/>
        </w:rPr>
        <w:t xml:space="preserve">2.5 Carros: lo que cambia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31"/>
        <w:gridCol w:w="3613"/>
        <w:gridCol w:w="2447"/>
        <w:gridCol w:w="1515"/>
      </w:tblGrid>
      <w:tr>
        <w:trPr>
          <w:cantSplit/>
          <w:tblHeader/>
        </w:trPr>
        <w:tc>
          <w:tcPr>
            <w:tcW w:type="dxa" w:w="233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Puesto</w:t>
            </w:r>
          </w:p>
        </w:tc>
        <w:tc>
          <w:tcPr>
            <w:tcW w:type="dxa" w:w="361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Lee y registra</w:t>
            </w:r>
          </w:p>
        </w:tc>
        <w:tc>
          <w:tcPr>
            <w:tcW w:type="dxa" w:w="244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Regla</w:t>
            </w:r>
          </w:p>
        </w:tc>
        <w:tc>
          <w:tcPr>
            <w:tcW w:type="dxa" w:w="15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Estado</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Corte + 2.1 Marcado</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nace el serie (DTMAQ: confirmar DataMatrix e ingreso de texto)</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lectura OK</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CORTADO y GRABADO</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a 8 Cilindrado, punteo, soldaduras, cupla, accesorios</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soldador; lotes de casquetes, triángulos, caño del eje, ruedas</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ISO 5817 C; todo soldado antes de la PH (IRAM 3550 6.1.1)</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CONFORMADO</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 PH · 10 Secado</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presión, tiempo, resultado</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4,0 MPa, 1 min (DOC-02 R3)</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bCs/>
                <w:color w:val="000000"/>
                <w:sz w:val="16"/>
                <w:szCs w:val="16"/>
              </w:rPr>
              <w:t xml:space="preserve">GATE</w:t>
            </w:r>
            <w:r>
              <w:rPr>
                <w:rFonts w:ascii="Arial" w:cs="Arial" w:eastAsia="Arial" w:hAnsi="Arial"/>
                <w:b w:val="false"/>
                <w:bCs w:val="false"/>
                <w:color w:val="000000"/>
                <w:sz w:val="16"/>
                <w:szCs w:val="16"/>
              </w:rPr>
              <w:t xml:space="preserve"> PROBADO</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11 Pulmón a pintura tercerizada</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lectura </w:t>
            </w:r>
            <w:r>
              <w:rPr>
                <w:rFonts w:ascii="Arial" w:cs="Arial" w:eastAsia="Arial" w:hAnsi="Arial"/>
                <w:b/>
                <w:bCs/>
                <w:color w:val="000000"/>
                <w:sz w:val="16"/>
                <w:szCs w:val="16"/>
              </w:rPr>
              <w:t xml:space="preserve">sale</w:t>
            </w:r>
            <w:r>
              <w:rPr>
                <w:rFonts w:ascii="Arial" w:cs="Arial" w:eastAsia="Arial" w:hAnsi="Arial"/>
                <w:b w:val="false"/>
                <w:bCs w:val="false"/>
                <w:color w:val="000000"/>
                <w:sz w:val="16"/>
                <w:szCs w:val="16"/>
              </w:rPr>
              <w:t xml:space="preserve"> de cada carro; la app arma la lista del envío</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lista = carros cargados al camión</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 PINTOR</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 Recepción de pintados</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lectura </w:t>
            </w:r>
            <w:r>
              <w:rPr>
                <w:rFonts w:ascii="Arial" w:cs="Arial" w:eastAsia="Arial" w:hAnsi="Arial"/>
                <w:b/>
                <w:bCs/>
                <w:color w:val="000000"/>
                <w:sz w:val="16"/>
                <w:szCs w:val="16"/>
              </w:rPr>
              <w:t xml:space="preserve">entra</w:t>
            </w:r>
            <w:r>
              <w:rPr>
                <w:rFonts w:ascii="Arial" w:cs="Arial" w:eastAsia="Arial" w:hAnsi="Arial"/>
                <w:b w:val="false"/>
                <w:bCs w:val="false"/>
                <w:color w:val="000000"/>
                <w:sz w:val="16"/>
                <w:szCs w:val="16"/>
              </w:rPr>
              <w:t xml:space="preserve">; la app compara con la lista y marca faltantes; rechazados del pintor con foto</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todos los enviados vuelven o están justificados</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TERMINADO</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13 Carga · 14 Pérdidas</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masa, presión; ensayo de pérdidas</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3 %; 1,4 MPa; sin pérdida</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bCs/>
                <w:color w:val="000000"/>
                <w:sz w:val="16"/>
                <w:szCs w:val="16"/>
              </w:rPr>
              <w:t xml:space="preserve">GATE</w:t>
            </w:r>
            <w:r>
              <w:rPr>
                <w:rFonts w:ascii="Arial" w:cs="Arial" w:eastAsia="Arial" w:hAnsi="Arial"/>
                <w:b w:val="false"/>
                <w:bCs w:val="false"/>
                <w:color w:val="000000"/>
                <w:sz w:val="16"/>
                <w:szCs w:val="16"/>
              </w:rPr>
              <w:t xml:space="preserve"> APROBADO</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 Etiquetado e inspección final</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QR = grabado; foto</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 manuales</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bCs/>
                <w:color w:val="000000"/>
                <w:sz w:val="16"/>
                <w:szCs w:val="16"/>
              </w:rPr>
              <w:t xml:space="preserve">GATE</w:t>
            </w:r>
            <w:r>
              <w:rPr>
                <w:rFonts w:ascii="Arial" w:cs="Arial" w:eastAsia="Arial" w:hAnsi="Arial"/>
                <w:b w:val="false"/>
                <w:bCs w:val="false"/>
                <w:color w:val="000000"/>
                <w:sz w:val="16"/>
                <w:szCs w:val="16"/>
              </w:rPr>
              <w:t xml:space="preserve"> IDENTIFICADO</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16 Depósito PT · 17 Ensayos de lote</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retenido hasta que aprueba el lote (DOC-02 L1 a L5); la muestra destruida queda ANULADA</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aprobado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liberado</w:t>
            </w:r>
          </w:p>
        </w:tc>
      </w:tr>
    </w:tbl>
    <w:p>
      <w:pPr>
        <w:spacing w:after="120"/>
      </w:pPr>
    </w:p>
    <w:p>
      <w:pPr>
        <w:pStyle w:val="Heading2"/>
        <w:keepNext/>
        <w:spacing w:after="80" w:before="180" w:line="276"/>
      </w:pPr>
      <w:r>
        <w:rPr>
          <w:rFonts w:ascii="Arial" w:cs="Arial" w:eastAsia="Arial" w:hAnsi="Arial"/>
          <w:color w:val="000000"/>
          <w:sz w:val="19"/>
          <w:szCs w:val="19"/>
        </w:rPr>
        <w:t xml:space="preserve">2.6 El legajo del equipo (ejemplo inventado)</w:t>
      </w:r>
    </w:p>
    <w:p>
      <w:pPr>
        <w:spacing w:after="100" w:before="0" w:line="276"/>
      </w:pPr>
      <w:r>
        <w:rPr>
          <w:rFonts w:ascii="Arial" w:cs="Arial" w:eastAsia="Arial" w:hAnsi="Arial"/>
          <w:color w:val="000000"/>
          <w:sz w:val="19"/>
          <w:szCs w:val="19"/>
        </w:rPr>
        <w:t xml:space="preserve">Es la «ficha de producto» que pediste: se arma sola con las lecturas, y por cada dato dice lo especificado, lo real y si cumple.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66"/>
        <w:gridCol w:w="1691"/>
        <w:gridCol w:w="1812"/>
        <w:gridCol w:w="1570"/>
        <w:gridCol w:w="2054"/>
        <w:gridCol w:w="725"/>
        <w:gridCol w:w="1088"/>
      </w:tblGrid>
      <w:tr>
        <w:trPr>
          <w:cantSplit/>
          <w:tblHeader/>
        </w:trPr>
        <w:tc>
          <w:tcPr>
            <w:tcW w:type="dxa" w:w="96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Fecha</w:t>
            </w:r>
          </w:p>
        </w:tc>
        <w:tc>
          <w:tcPr>
            <w:tcW w:type="dxa" w:w="169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Puesto</w:t>
            </w:r>
          </w:p>
        </w:tc>
        <w:tc>
          <w:tcPr>
            <w:tcW w:type="dxa" w:w="181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Dato</w:t>
            </w:r>
          </w:p>
        </w:tc>
        <w:tc>
          <w:tcPr>
            <w:tcW w:type="dxa" w:w="157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Especificado</w:t>
            </w:r>
          </w:p>
        </w:tc>
        <w:tc>
          <w:tcPr>
            <w:tcW w:type="dxa" w:w="205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Real</w:t>
            </w:r>
          </w:p>
        </w:tc>
        <w:tc>
          <w:tcPr>
            <w:tcW w:type="dxa" w:w="72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Cumple</w:t>
            </w:r>
          </w:p>
        </w:tc>
        <w:tc>
          <w:tcPr>
            <w:tcW w:type="dxa" w:w="108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Quién</w:t>
            </w:r>
          </w:p>
        </w:tc>
      </w:tr>
      <w:tr>
        <w:trPr>
          <w:cantSplit/>
        </w:trPr>
        <w:tc>
          <w:tcPr>
            <w:tcW w:type="dxa" w:w="96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02/03/26</w:t>
            </w:r>
          </w:p>
        </w:tc>
        <w:tc>
          <w:tcPr>
            <w:tcW w:type="dxa" w:w="16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G2 + Pannier</w:t>
            </w:r>
          </w:p>
        </w:tc>
        <w:tc>
          <w:tcPr>
            <w:tcW w:type="dxa" w:w="18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serie · hoja · lote de chapa</w:t>
            </w:r>
          </w:p>
        </w:tc>
        <w:tc>
          <w:tcPr>
            <w:tcW w:type="dxa" w:w="15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0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26-000123 · H-0412 · col. 4521</w:t>
            </w:r>
          </w:p>
        </w:tc>
        <w:tc>
          <w:tcPr>
            <w:tcW w:type="dxa" w:w="72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 104</w:t>
            </w:r>
          </w:p>
        </w:tc>
      </w:tr>
      <w:tr>
        <w:trPr>
          <w:cantSplit/>
        </w:trPr>
        <w:tc>
          <w:tcPr>
            <w:tcW w:type="dxa" w:w="96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03/03/26</w:t>
            </w:r>
          </w:p>
        </w:tc>
        <w:tc>
          <w:tcPr>
            <w:tcW w:type="dxa" w:w="16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 Soldadura long.</w:t>
            </w:r>
          </w:p>
        </w:tc>
        <w:tc>
          <w:tcPr>
            <w:tcW w:type="dxa" w:w="18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alambre / gas</w:t>
            </w:r>
          </w:p>
        </w:tc>
        <w:tc>
          <w:tcPr>
            <w:tcW w:type="dxa" w:w="15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BOM</w:t>
            </w:r>
          </w:p>
        </w:tc>
        <w:tc>
          <w:tcPr>
            <w:tcW w:type="dxa" w:w="20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AL-2602 / G-77</w:t>
            </w:r>
          </w:p>
        </w:tc>
        <w:tc>
          <w:tcPr>
            <w:tcW w:type="dxa" w:w="72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sold. 21</w:t>
            </w:r>
          </w:p>
        </w:tc>
      </w:tr>
      <w:tr>
        <w:trPr>
          <w:cantSplit/>
        </w:trPr>
        <w:tc>
          <w:tcPr>
            <w:tcW w:type="dxa" w:w="96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03/03/26</w:t>
            </w:r>
          </w:p>
        </w:tc>
        <w:tc>
          <w:tcPr>
            <w:tcW w:type="dxa" w:w="16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 Circunferencial</w:t>
            </w:r>
          </w:p>
        </w:tc>
        <w:tc>
          <w:tcPr>
            <w:tcW w:type="dxa" w:w="18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cúpula / fondo</w:t>
            </w:r>
          </w:p>
        </w:tc>
        <w:tc>
          <w:tcPr>
            <w:tcW w:type="dxa" w:w="15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0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CU-0303 / FO-0301</w:t>
            </w:r>
          </w:p>
        </w:tc>
        <w:tc>
          <w:tcPr>
            <w:tcW w:type="dxa" w:w="72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sold. 18</w:t>
            </w:r>
          </w:p>
        </w:tc>
      </w:tr>
      <w:tr>
        <w:trPr>
          <w:cantSplit/>
        </w:trPr>
        <w:tc>
          <w:tcPr>
            <w:tcW w:type="dxa" w:w="96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04/03/26</w:t>
            </w:r>
          </w:p>
        </w:tc>
        <w:tc>
          <w:tcPr>
            <w:tcW w:type="dxa" w:w="16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13 Espesor</w:t>
            </w:r>
          </w:p>
        </w:tc>
        <w:tc>
          <w:tcPr>
            <w:tcW w:type="dxa" w:w="18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espesor mínimo</w:t>
            </w:r>
          </w:p>
        </w:tc>
        <w:tc>
          <w:tcPr>
            <w:tcW w:type="dxa" w:w="15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1,60 mm</w:t>
            </w:r>
          </w:p>
        </w:tc>
        <w:tc>
          <w:tcPr>
            <w:tcW w:type="dxa" w:w="20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1,62 mm</w:t>
            </w:r>
          </w:p>
        </w:tc>
        <w:tc>
          <w:tcPr>
            <w:tcW w:type="dxa" w:w="72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 33</w:t>
            </w:r>
          </w:p>
        </w:tc>
      </w:tr>
      <w:tr>
        <w:trPr>
          <w:cantSplit/>
        </w:trPr>
        <w:tc>
          <w:tcPr>
            <w:tcW w:type="dxa" w:w="96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04/03/26</w:t>
            </w:r>
          </w:p>
        </w:tc>
        <w:tc>
          <w:tcPr>
            <w:tcW w:type="dxa" w:w="16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14 PH</w:t>
            </w:r>
          </w:p>
        </w:tc>
        <w:tc>
          <w:tcPr>
            <w:tcW w:type="dxa" w:w="18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presión / tiempo</w:t>
            </w:r>
          </w:p>
        </w:tc>
        <w:tc>
          <w:tcPr>
            <w:tcW w:type="dxa" w:w="15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3,5 MPa / 60 s</w:t>
            </w:r>
          </w:p>
        </w:tc>
        <w:tc>
          <w:tcPr>
            <w:tcW w:type="dxa" w:w="20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3,52 MPa / 62 s</w:t>
            </w:r>
          </w:p>
        </w:tc>
        <w:tc>
          <w:tcPr>
            <w:tcW w:type="dxa" w:w="72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 112</w:t>
            </w:r>
          </w:p>
        </w:tc>
      </w:tr>
      <w:tr>
        <w:trPr>
          <w:cantSplit/>
        </w:trPr>
        <w:tc>
          <w:tcPr>
            <w:tcW w:type="dxa" w:w="96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06/03/26</w:t>
            </w:r>
          </w:p>
        </w:tc>
        <w:tc>
          <w:tcPr>
            <w:tcW w:type="dxa" w:w="16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19 Pintura</w:t>
            </w:r>
          </w:p>
        </w:tc>
        <w:tc>
          <w:tcPr>
            <w:tcW w:type="dxa" w:w="18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w:t>
            </w:r>
          </w:p>
        </w:tc>
        <w:tc>
          <w:tcPr>
            <w:tcW w:type="dxa" w:w="15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0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PP-2603-2</w:t>
            </w:r>
          </w:p>
        </w:tc>
        <w:tc>
          <w:tcPr>
            <w:tcW w:type="dxa" w:w="72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línea</w:t>
            </w:r>
          </w:p>
        </w:tc>
      </w:tr>
      <w:tr>
        <w:trPr>
          <w:cantSplit/>
        </w:trPr>
        <w:tc>
          <w:tcPr>
            <w:tcW w:type="dxa" w:w="96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09/03/26</w:t>
            </w:r>
          </w:p>
        </w:tc>
        <w:tc>
          <w:tcPr>
            <w:tcW w:type="dxa" w:w="16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20 Carga</w:t>
            </w:r>
          </w:p>
        </w:tc>
        <w:tc>
          <w:tcPr>
            <w:tcW w:type="dxa" w:w="18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polvo</w:t>
            </w:r>
          </w:p>
        </w:tc>
        <w:tc>
          <w:tcPr>
            <w:tcW w:type="dxa" w:w="15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5,00 kg 0/+0,30</w:t>
            </w:r>
          </w:p>
        </w:tc>
        <w:tc>
          <w:tcPr>
            <w:tcW w:type="dxa" w:w="20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5,14 kg</w:t>
            </w:r>
          </w:p>
        </w:tc>
        <w:tc>
          <w:tcPr>
            <w:tcW w:type="dxa" w:w="72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balanza B2</w:t>
            </w:r>
          </w:p>
        </w:tc>
      </w:tr>
      <w:tr>
        <w:trPr>
          <w:cantSplit/>
        </w:trPr>
        <w:tc>
          <w:tcPr>
            <w:tcW w:type="dxa" w:w="96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09/03/26</w:t>
            </w:r>
          </w:p>
        </w:tc>
        <w:tc>
          <w:tcPr>
            <w:tcW w:type="dxa" w:w="16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22 Presurización</w:t>
            </w:r>
          </w:p>
        </w:tc>
        <w:tc>
          <w:tcPr>
            <w:tcW w:type="dxa" w:w="18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presión</w:t>
            </w:r>
          </w:p>
        </w:tc>
        <w:tc>
          <w:tcPr>
            <w:tcW w:type="dxa" w:w="15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1,4 MPa a 20 °C</w:t>
            </w:r>
          </w:p>
        </w:tc>
        <w:tc>
          <w:tcPr>
            <w:tcW w:type="dxa" w:w="20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1,40 MPa</w:t>
            </w:r>
          </w:p>
        </w:tc>
        <w:tc>
          <w:tcPr>
            <w:tcW w:type="dxa" w:w="72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 51</w:t>
            </w:r>
          </w:p>
        </w:tc>
      </w:tr>
      <w:tr>
        <w:trPr>
          <w:cantSplit/>
        </w:trPr>
        <w:tc>
          <w:tcPr>
            <w:tcW w:type="dxa" w:w="96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10/03/26</w:t>
            </w:r>
          </w:p>
        </w:tc>
        <w:tc>
          <w:tcPr>
            <w:tcW w:type="dxa" w:w="16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23 Pérdidas</w:t>
            </w:r>
          </w:p>
        </w:tc>
        <w:tc>
          <w:tcPr>
            <w:tcW w:type="dxa" w:w="18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24 h</w:t>
            </w:r>
          </w:p>
        </w:tc>
        <w:tc>
          <w:tcPr>
            <w:tcW w:type="dxa" w:w="15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pérdida</w:t>
            </w:r>
          </w:p>
        </w:tc>
        <w:tc>
          <w:tcPr>
            <w:tcW w:type="dxa" w:w="20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pérdida</w:t>
            </w:r>
          </w:p>
        </w:tc>
        <w:tc>
          <w:tcPr>
            <w:tcW w:type="dxa" w:w="72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 51</w:t>
            </w:r>
          </w:p>
        </w:tc>
      </w:tr>
      <w:tr>
        <w:trPr>
          <w:cantSplit/>
        </w:trPr>
        <w:tc>
          <w:tcPr>
            <w:tcW w:type="dxa" w:w="96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10/03/26</w:t>
            </w:r>
          </w:p>
        </w:tc>
        <w:tc>
          <w:tcPr>
            <w:tcW w:type="dxa" w:w="16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24 Etiquetado</w:t>
            </w:r>
          </w:p>
        </w:tc>
        <w:tc>
          <w:tcPr>
            <w:tcW w:type="dxa" w:w="18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QR = grabado · masa total</w:t>
            </w:r>
          </w:p>
        </w:tc>
        <w:tc>
          <w:tcPr>
            <w:tcW w:type="dxa" w:w="15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8,50 kg (+ tol.)</w:t>
            </w:r>
          </w:p>
        </w:tc>
        <w:tc>
          <w:tcPr>
            <w:tcW w:type="dxa" w:w="20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26-000123 · 8,62 kg</w:t>
            </w:r>
          </w:p>
        </w:tc>
        <w:tc>
          <w:tcPr>
            <w:tcW w:type="dxa" w:w="72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 60</w:t>
            </w:r>
          </w:p>
        </w:tc>
      </w:tr>
      <w:tr>
        <w:trPr>
          <w:cantSplit/>
        </w:trPr>
        <w:tc>
          <w:tcPr>
            <w:tcW w:type="dxa" w:w="96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10/03/26</w:t>
            </w:r>
          </w:p>
        </w:tc>
        <w:tc>
          <w:tcPr>
            <w:tcW w:type="dxa" w:w="16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Embalaje</w:t>
            </w:r>
          </w:p>
        </w:tc>
        <w:tc>
          <w:tcPr>
            <w:tcW w:type="dxa" w:w="18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 pallet</w:t>
            </w:r>
          </w:p>
        </w:tc>
        <w:tc>
          <w:tcPr>
            <w:tcW w:type="dxa" w:w="15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0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C-88412 / SSCC …0457</w:t>
            </w:r>
          </w:p>
        </w:tc>
        <w:tc>
          <w:tcPr>
            <w:tcW w:type="dxa" w:w="72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 60</w:t>
            </w:r>
          </w:p>
        </w:tc>
      </w:tr>
    </w:tbl>
    <w:p>
      <w:pPr>
        <w:spacing w:after="120"/>
      </w:pPr>
    </w:p>
    <w:p>
      <w:pPr>
        <w:pStyle w:val="Heading2"/>
        <w:keepNext/>
        <w:spacing w:after="80" w:before="180" w:line="276"/>
      </w:pPr>
      <w:r>
        <w:rPr>
          <w:rFonts w:ascii="Arial" w:cs="Arial" w:eastAsia="Arial" w:hAnsi="Arial"/>
          <w:color w:val="000000"/>
          <w:sz w:val="19"/>
          <w:szCs w:val="19"/>
        </w:rPr>
        <w:t xml:space="preserve">2.7 Situaciones especiales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14"/>
        <w:gridCol w:w="6992"/>
      </w:tblGrid>
      <w:tr>
        <w:trPr>
          <w:cantSplit/>
          <w:tblHeader/>
        </w:trPr>
        <w:tc>
          <w:tcPr>
            <w:tcW w:type="dxa" w:w="291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Situación</w:t>
            </w:r>
          </w:p>
        </w:tc>
        <w:tc>
          <w:tcPr>
            <w:tcW w:type="dxa" w:w="699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hace el sistema</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corta la red</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app sigue sin conexión y sincroniza después; el orden de eventos lo da la hora del celular</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cámara no lee el grabado</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tipea el número; queda marcado «lectura manual» para revisar el puesto</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Retrabajo (ej. una soldadura)</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Vuelve al puesto con el mismo serie; el legajo muestra el retrabajo</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Falla la PH</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ANULADO; el serie queda en el registro con el motivo; la chatarra se separa</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vendido vacío</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Desde la descarga de pintura va a embalaje; sin carga ni compuerta de pérdidas</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de polvo o válvulas con problema</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Consulta lote → series → dónde están: se retienen en planta y se avisa a los despachados (4.7)</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mezclan cúpulas de dos lotes</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carro de cúpulas es el lote; si se mezcla, se registran los dos y el llamado a revisión toma ambos</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mal pegada o dañada</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reimprime desde el grabado; la vieja queda anulada</w:t>
            </w:r>
          </w:p>
        </w:tc>
      </w:tr>
    </w:tbl>
    <w:p>
      <w:pPr>
        <w:spacing w:after="120"/>
      </w:pPr>
    </w:p>
    <w:p>
      <w:pPr>
        <w:pStyle w:val="Heading2"/>
        <w:keepNext/>
        <w:spacing w:after="80" w:before="180" w:line="276"/>
      </w:pPr>
      <w:r>
        <w:rPr>
          <w:rFonts w:ascii="Arial" w:cs="Arial" w:eastAsia="Arial" w:hAnsi="Arial"/>
          <w:color w:val="000000"/>
          <w:sz w:val="19"/>
          <w:szCs w:val="19"/>
        </w:rPr>
        <w:t xml:space="preserve">2.8 Visión con YOLO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98"/>
        <w:gridCol w:w="1632"/>
        <w:gridCol w:w="4195"/>
        <w:gridCol w:w="1981"/>
      </w:tblGrid>
      <w:tr>
        <w:trPr>
          <w:cantSplit/>
          <w:tblHeader/>
        </w:trPr>
        <w:tc>
          <w:tcPr>
            <w:tcW w:type="dxa" w:w="20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Uso</w:t>
            </w:r>
          </w:p>
        </w:tc>
        <w:tc>
          <w:tcPr>
            <w:tcW w:type="dxa" w:w="16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Dónde</w:t>
            </w:r>
          </w:p>
        </w:tc>
        <w:tc>
          <w:tcPr>
            <w:tcW w:type="dxa" w:w="419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Cómo</w:t>
            </w:r>
          </w:p>
        </w:tc>
        <w:tc>
          <w:tcPr>
            <w:tcW w:type="dxa" w:w="198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decide</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Ubicar y leer el grabado</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todos los puestos y recargas</w:t>
            </w:r>
          </w:p>
        </w:tc>
        <w:tc>
          <w:tcPr>
            <w:tcW w:type="dxa" w:w="41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YOLO encuentra la franja en la foto, la recorta y se la pasa a zxing-cpp / libdmtx; si falla, OCR del texto</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solo lee</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Defectos de superficie y soldadura</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 17</w:t>
            </w:r>
          </w:p>
        </w:tc>
        <w:tc>
          <w:tcPr>
            <w:tcW w:type="dxa" w:w="41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detector entrenado con fotos propias de poros, golpes y cordones (</w:t>
            </w:r>
            <w:hyperlink w:history="1" r:id="rIdh_1dr3ibqalvclrxdcv0n">
              <w:r>
                <w:rPr>
                  <w:rFonts w:ascii="Arial" w:cs="Arial" w:eastAsia="Arial" w:hAnsi="Arial"/>
                  <w:color w:val="1F1F1F"/>
                  <w:sz w:val="16"/>
                  <w:szCs w:val="16"/>
                  <w:u w:val="single"/>
                </w:rPr>
                <w:t xml:space="preserve">YOLO en soldadura</w:t>
              </w:r>
            </w:hyperlink>
            <w:r>
              <w:rPr>
                <w:rFonts w:ascii="Arial" w:cs="Arial" w:eastAsia="Arial" w:hAnsi="Arial"/>
                <w:b w:val="false"/>
                <w:bCs w:val="false"/>
                <w:color w:val="000000"/>
                <w:sz w:val="16"/>
                <w:szCs w:val="16"/>
              </w:rPr>
              <w:t xml:space="preserve">; </w:t>
            </w:r>
            <w:hyperlink w:history="1" r:id="rId0u_k8lohhfcunmyurp8gm">
              <w:r>
                <w:rPr>
                  <w:rFonts w:ascii="Arial" w:cs="Arial" w:eastAsia="Arial" w:hAnsi="Arial"/>
                  <w:color w:val="1F1F1F"/>
                  <w:sz w:val="16"/>
                  <w:szCs w:val="16"/>
                  <w:u w:val="single"/>
                </w:rPr>
                <w:t xml:space="preserve">YOLOv3</w:t>
              </w:r>
            </w:hyperlink>
            <w:r>
              <w:rPr>
                <w:rFonts w:ascii="Arial" w:cs="Arial" w:eastAsia="Arial" w:hAnsi="Arial"/>
                <w:b w:val="false"/>
                <w:bCs w:val="false"/>
                <w:color w:val="000000"/>
                <w:sz w:val="16"/>
                <w:szCs w:val="16"/>
              </w:rPr>
              <w:t xml:space="preserve">)</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marca; decide el operario</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Control final</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24 manuales · 15 carros</w:t>
            </w:r>
          </w:p>
        </w:tc>
        <w:tc>
          <w:tcPr>
            <w:tcW w:type="dxa" w:w="41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verifica etiqueta, precinto, manómetro en verde, pasador, tobera y faja; guarda la foto</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 falta algo, frena</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Conteo de pallet</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despacho</w:t>
            </w:r>
          </w:p>
        </w:tc>
        <w:tc>
          <w:tcPr>
            <w:tcW w:type="dxa" w:w="41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cuenta equipos en la foto y compara con el SSCC</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avisa faltantes</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Estado en recepción</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recargas</w:t>
            </w:r>
          </w:p>
        </w:tc>
        <w:tc>
          <w:tcPr>
            <w:tcW w:type="dxa" w:w="41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corrosión y golpes como apoyo a IRAM 3517-2 9.7.1.3</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decide el recargador</w:t>
            </w:r>
          </w:p>
        </w:tc>
      </w:tr>
    </w:tbl>
    <w:p>
      <w:pPr>
        <w:spacing w:after="120"/>
      </w:pPr>
    </w:p>
    <w:p>
      <w:pPr>
        <w:spacing w:after="100" w:before="0" w:line="276"/>
      </w:pPr>
      <w:r>
        <w:rPr>
          <w:rFonts w:ascii="Arial" w:cs="Arial" w:eastAsia="Arial" w:hAnsi="Arial"/>
          <w:color w:val="000000"/>
          <w:sz w:val="19"/>
          <w:szCs w:val="19"/>
        </w:rPr>
        <w:t xml:space="preserve">Corre en una PC chica con cámara fija. El entrenamiento necesita un lote de fotos propias etiquetadas: va en la fase 3.</w:t>
      </w:r>
    </w:p>
    <w:p>
      <w:pPr>
        <w:pStyle w:val="Heading2"/>
        <w:keepNext/>
        <w:spacing w:after="80" w:before="180" w:line="276"/>
      </w:pPr>
      <w:r>
        <w:rPr>
          <w:rFonts w:ascii="Arial" w:cs="Arial" w:eastAsia="Arial" w:hAnsi="Arial"/>
          <w:color w:val="000000"/>
          <w:sz w:val="19"/>
          <w:szCs w:val="19"/>
        </w:rPr>
        <w:t xml:space="preserve">2.9 Datos e integridad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65"/>
        <w:gridCol w:w="8041"/>
      </w:tblGrid>
      <w:tr>
        <w:trPr>
          <w:cantSplit/>
          <w:tblHeader/>
        </w:trPr>
        <w:tc>
          <w:tcPr>
            <w:tcW w:type="dxa" w:w="186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Tabla</w:t>
            </w:r>
          </w:p>
        </w:tc>
        <w:tc>
          <w:tcPr>
            <w:tcW w:type="dxa" w:w="804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guarda</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SERIES</w:t>
            </w:r>
          </w:p>
        </w:tc>
        <w:tc>
          <w:tcPr>
            <w:tcW w:type="dxa" w:w="804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serie, modelo (GTIN), estado, rev. de ficha, lote de chapa, quién lo tiene, fecha de fabricación</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EVENTOS</w:t>
            </w:r>
          </w:p>
        </w:tc>
        <w:tc>
          <w:tcPr>
            <w:tcW w:type="dxa" w:w="804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 serie o SSCC, tipo, puesto, fecha y hora, operario, valores, resultado, foto, hash anterior, hash</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FICHAS</w:t>
            </w:r>
          </w:p>
        </w:tc>
        <w:tc>
          <w:tcPr>
            <w:tcW w:type="dxa" w:w="804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modelo, revisión, puesto, parámetro, mínimo, máximo, unidad, fuente</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LOTES</w:t>
            </w:r>
          </w:p>
        </w:tc>
        <w:tc>
          <w:tcPr>
            <w:tcW w:type="dxa" w:w="804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chapa, polvo, válvulas, manómetros, pintura, precintos, marbetes: proveedor y certificado</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AGREGACIONES</w:t>
            </w:r>
          </w:p>
        </w:tc>
        <w:tc>
          <w:tcPr>
            <w:tcW w:type="dxa" w:w="804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padre (lote de cúpula, caja, pallet SSCC) e hijo (serie)</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CUSTODIA</w:t>
            </w:r>
          </w:p>
        </w:tc>
        <w:tc>
          <w:tcPr>
            <w:tcW w:type="dxa" w:w="804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serie, quién lo tiene, desde cuándo, documento</w:t>
            </w:r>
          </w:p>
        </w:tc>
      </w:tr>
    </w:tbl>
    <w:p>
      <w:pPr>
        <w:spacing w:after="120"/>
      </w:pPr>
    </w:p>
    <w:p>
      <w:pPr>
        <w:spacing w:after="100" w:before="0" w:line="276"/>
      </w:pPr>
      <w:r>
        <w:rPr>
          <w:rFonts w:ascii="Arial" w:cs="Arial" w:eastAsia="Arial" w:hAnsi="Arial"/>
          <w:color w:val="000000"/>
          <w:sz w:val="19"/>
          <w:szCs w:val="19"/>
        </w:rPr>
        <w:t xml:space="preserve">Cada evento guarda el hash del anterior: si alguien edita un renglón viejo, la cadena se rompe y se nota. Los eventos siguen la estructura de </w:t>
      </w:r>
      <w:hyperlink w:history="1" r:id="rIdrn7oblsmszwbuypzl7lpb">
        <w:r>
          <w:rPr>
            <w:rFonts w:ascii="Arial" w:cs="Arial" w:eastAsia="Arial" w:hAnsi="Arial"/>
            <w:color w:val="1F1F1F"/>
            <w:sz w:val="19"/>
            <w:szCs w:val="19"/>
            <w:u w:val="single"/>
          </w:rPr>
          <w:t xml:space="preserve">GS1 EPCIS 2.0</w:t>
        </w:r>
      </w:hyperlink>
      <w:r>
        <w:rPr>
          <w:rFonts w:ascii="Arial" w:cs="Arial" w:eastAsia="Arial" w:hAnsi="Arial"/>
          <w:color w:val="000000"/>
          <w:sz w:val="19"/>
          <w:szCs w:val="19"/>
        </w:rPr>
        <w:t xml:space="preserve"> (</w:t>
      </w:r>
      <w:hyperlink w:history="1" r:id="rId1ko6bizjdq7cciskodxyv">
        <w:r>
          <w:rPr>
            <w:rFonts w:ascii="Arial" w:cs="Arial" w:eastAsia="Arial" w:hAnsi="Arial"/>
            <w:color w:val="1F1F1F"/>
            <w:sz w:val="19"/>
            <w:szCs w:val="19"/>
            <w:u w:val="single"/>
          </w:rPr>
          <w:t xml:space="preserve">lanzamiento</w:t>
        </w:r>
      </w:hyperlink>
      <w:r>
        <w:rPr>
          <w:rFonts w:ascii="Arial" w:cs="Arial" w:eastAsia="Arial" w:hAnsi="Arial"/>
          <w:color w:val="000000"/>
          <w:sz w:val="19"/>
          <w:szCs w:val="19"/>
        </w:rPr>
        <w:t xml:space="preserve">): qué, cuándo, dónde, por qué y cómo.</w:t>
      </w:r>
    </w:p>
    <w:p>
      <w:pPr>
        <w:pStyle w:val="Heading1"/>
        <w:keepNext/>
        <w:spacing w:after="120" w:before="240" w:line="276"/>
      </w:pPr>
      <w:r>
        <w:rPr>
          <w:rFonts w:ascii="Arial" w:cs="Arial" w:eastAsia="Arial" w:hAnsi="Arial"/>
          <w:color w:val="000000"/>
          <w:sz w:val="19"/>
          <w:szCs w:val="19"/>
        </w:rPr>
        <w:t xml:space="preserve">3. Trazabilidad extraplanta: de la carta de porte a la llave en mano</w:t>
      </w:r>
    </w:p>
    <w:p>
      <w:pPr>
        <w:keepNext/>
        <w:spacing w:after="60"/>
        <w:jc w:val="center"/>
      </w:pPr>
      <w:r>
        <w:drawing>
          <wp:inline distT="0" distB="0" distL="0" distR="0">
            <wp:extent cx="5943600" cy="17430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43600" cy="174307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Cadena de custodia: cada traspaso es una doble lectura con su documento.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48"/>
        <w:gridCol w:w="2914"/>
        <w:gridCol w:w="2098"/>
        <w:gridCol w:w="1865"/>
        <w:gridCol w:w="1281"/>
      </w:tblGrid>
      <w:tr>
        <w:trPr>
          <w:cantSplit/>
          <w:tblHeader/>
        </w:trPr>
        <w:tc>
          <w:tcPr>
            <w:tcW w:type="dxa" w:w="174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Traspaso</w:t>
            </w:r>
          </w:p>
        </w:tc>
        <w:tc>
          <w:tcPr>
            <w:tcW w:type="dxa" w:w="291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Documento</w:t>
            </w:r>
          </w:p>
        </w:tc>
        <w:tc>
          <w:tcPr>
            <w:tcW w:type="dxa" w:w="20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Quién lee y cómo</w:t>
            </w:r>
          </w:p>
        </w:tc>
        <w:tc>
          <w:tcPr>
            <w:tcW w:type="dxa" w:w="186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Datos que quedan</w:t>
            </w:r>
          </w:p>
        </w:tc>
        <w:tc>
          <w:tcPr>
            <w:tcW w:type="dxa" w:w="128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Si falta o llega dañado</w:t>
            </w:r>
          </w:p>
        </w:tc>
      </w:tr>
      <w:tr>
        <w:trPr>
          <w:cantSplit/>
        </w:trPr>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FLAMA → transportista</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remito y factura; carta de porte suscripta por el cargador (CCyCN </w:t>
            </w:r>
            <w:hyperlink w:history="1" r:id="rIdkmt1uchezkwdtfl1rei0d">
              <w:r>
                <w:rPr>
                  <w:rFonts w:ascii="Arial" w:cs="Arial" w:eastAsia="Arial" w:hAnsi="Arial"/>
                  <w:color w:val="1F1F1F"/>
                  <w:sz w:val="16"/>
                  <w:szCs w:val="16"/>
                  <w:u w:val="single"/>
                </w:rPr>
                <w:t xml:space="preserve">art. 1298</w:t>
              </w:r>
            </w:hyperlink>
            <w:r>
              <w:rPr>
                <w:rFonts w:ascii="Arial" w:cs="Arial" w:eastAsia="Arial" w:hAnsi="Arial"/>
                <w:b w:val="false"/>
                <w:bCs w:val="false"/>
                <w:color w:val="000000"/>
                <w:sz w:val="16"/>
                <w:szCs w:val="16"/>
              </w:rPr>
              <w:t xml:space="preserve">; segundo ejemplar art. 1299; guía art. 1300); COT si el traslado supera los umbrales vigentes (</w:t>
            </w:r>
            <w:hyperlink w:history="1" r:id="rIdqlk5ydxbgv7jmry_95a_k">
              <w:r>
                <w:rPr>
                  <w:rFonts w:ascii="Arial" w:cs="Arial" w:eastAsia="Arial" w:hAnsi="Arial"/>
                  <w:color w:val="1F1F1F"/>
                  <w:sz w:val="16"/>
                  <w:szCs w:val="16"/>
                  <w:u w:val="single"/>
                </w:rPr>
                <w:t xml:space="preserve">ARBA</w:t>
              </w:r>
            </w:hyperlink>
            <w:r>
              <w:rPr>
                <w:rFonts w:ascii="Arial" w:cs="Arial" w:eastAsia="Arial" w:hAnsi="Arial"/>
                <w:b w:val="false"/>
                <w:bCs w:val="false"/>
                <w:color w:val="000000"/>
                <w:sz w:val="16"/>
                <w:szCs w:val="16"/>
              </w:rPr>
              <w:t xml:space="preserve">)</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despacho lee cada pallet (sale ✓); el chofer lee el QR del remito con su celular (entra ✓)</w:t>
            </w:r>
          </w:p>
        </w:tc>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fecha, camión, chofer, pallets y series</w:t>
            </w:r>
          </w:p>
        </w:tc>
        <w:tc>
          <w:tcPr>
            <w:tcW w:type="dxa" w:w="12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 se cierra el despacho</w:t>
            </w:r>
          </w:p>
        </w:tc>
      </w:tr>
      <w:tr>
        <w:trPr>
          <w:cantSplit/>
        </w:trPr>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Transportista → distribuidor</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remito firmado</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distribuidor lee el pallet (entra ✓)</w:t>
            </w:r>
          </w:p>
        </w:tc>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custodia: distribuidor</w:t>
            </w:r>
          </w:p>
        </w:tc>
        <w:tc>
          <w:tcPr>
            <w:tcW w:type="dxa" w:w="12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foto y faltante en el mismo traspaso</w:t>
            </w:r>
          </w:p>
        </w:tc>
      </w:tr>
      <w:tr>
        <w:trPr>
          <w:cantSplit/>
        </w:trPr>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Distribuidor → instalador o cliente</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factura o remito del distribuidor</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 abrir el pallet lee cada serie que vende (desagregación)</w:t>
            </w:r>
          </w:p>
        </w:tc>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 quién se vendió cada serie</w:t>
            </w:r>
          </w:p>
        </w:tc>
        <w:tc>
          <w:tcPr>
            <w:tcW w:type="dxa" w:w="12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Instalador → cliente (llave en mano)</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acta de entrega firmada en el celular</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lee el serie ya colgado</w:t>
            </w:r>
          </w:p>
        </w:tc>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dirección, sector, foto en el soporte, altura, dueño</w:t>
            </w:r>
          </w:p>
        </w:tc>
        <w:tc>
          <w:tcPr>
            <w:tcW w:type="dxa" w:w="12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bl>
    <w:p>
      <w:pPr>
        <w:spacing w:after="120"/>
      </w:pPr>
    </w:p>
    <w:p>
      <w:pPr>
        <w:spacing w:after="100" w:before="0" w:line="276"/>
      </w:pPr>
      <w:r>
        <w:rPr>
          <w:rFonts w:ascii="Arial" w:cs="Arial" w:eastAsia="Arial" w:hAnsi="Arial"/>
          <w:b/>
          <w:bCs/>
          <w:color w:val="000000"/>
          <w:sz w:val="19"/>
          <w:szCs w:val="19"/>
        </w:rPr>
        <w:t xml:space="preserve">El punto débil</w:t>
      </w:r>
      <w:r>
        <w:rPr>
          <w:rFonts w:ascii="Arial" w:cs="Arial" w:eastAsia="Arial" w:hAnsi="Arial"/>
          <w:color w:val="000000"/>
          <w:sz w:val="19"/>
          <w:szCs w:val="19"/>
        </w:rPr>
        <w:t xml:space="preserve"> es el distribuidor, que no está obligado a leer nada. Propuesta (</w:t>
      </w:r>
      <w:r>
        <w:rPr>
          <w:rFonts w:ascii="Arial" w:cs="Arial" w:eastAsia="Arial" w:hAnsi="Arial"/>
          <w:b/>
          <w:bCs/>
          <w:color w:val="000000"/>
          <w:sz w:val="19"/>
          <w:szCs w:val="19"/>
        </w:rPr>
        <w:t xml:space="preserve">criterio</w:t>
      </w:r>
      <w:r>
        <w:rPr>
          <w:rFonts w:ascii="Arial" w:cs="Arial" w:eastAsia="Arial" w:hAnsi="Arial"/>
          <w:color w:val="000000"/>
          <w:sz w:val="19"/>
          <w:szCs w:val="19"/>
        </w:rPr>
        <w:t xml:space="preserve">): la garantía del equipo se activa cuando se registra la venta o la instalación. Así el que vende tiene un motivo para leer. Los instaladores propios de FLAMA leen siempre.</w:t>
      </w:r>
    </w:p>
    <w:p>
      <w:pPr>
        <w:spacing w:after="100" w:before="0" w:line="276"/>
      </w:pPr>
      <w:r>
        <w:rPr>
          <w:rFonts w:ascii="Arial" w:cs="Arial" w:eastAsia="Arial" w:hAnsi="Arial"/>
          <w:color w:val="000000"/>
          <w:sz w:val="19"/>
          <w:szCs w:val="19"/>
        </w:rPr>
        <w:t xml:space="preserve">El QR de la etiqueta (GS1 Digital Link) abre la ficha con dos solapas, </w:t>
      </w:r>
      <w:r>
        <w:rPr>
          <w:rFonts w:ascii="Arial" w:cs="Arial" w:eastAsia="Arial" w:hAnsi="Arial"/>
          <w:b/>
          <w:bCs/>
          <w:color w:val="000000"/>
          <w:sz w:val="19"/>
          <w:szCs w:val="19"/>
        </w:rPr>
        <w:t xml:space="preserve">técnica</w:t>
      </w:r>
      <w:r>
        <w:rPr>
          <w:rFonts w:ascii="Arial" w:cs="Arial" w:eastAsia="Arial" w:hAnsi="Arial"/>
          <w:color w:val="000000"/>
          <w:sz w:val="19"/>
          <w:szCs w:val="19"/>
        </w:rPr>
        <w:t xml:space="preserve"> y </w:t>
      </w:r>
      <w:r>
        <w:rPr>
          <w:rFonts w:ascii="Arial" w:cs="Arial" w:eastAsia="Arial" w:hAnsi="Arial"/>
          <w:b/>
          <w:bCs/>
          <w:color w:val="000000"/>
          <w:sz w:val="19"/>
          <w:szCs w:val="19"/>
        </w:rPr>
        <w:t xml:space="preserve">comercial</w:t>
      </w:r>
      <w:r>
        <w:rPr>
          <w:rFonts w:ascii="Arial" w:cs="Arial" w:eastAsia="Arial" w:hAnsi="Arial"/>
          <w:color w:val="000000"/>
          <w:sz w:val="19"/>
          <w:szCs w:val="19"/>
        </w:rPr>
        <w:t xml:space="preserve">, las dos con la historia; los lotes, los operarios y los parámetros de máquina quedan solo para FLAMA.</w:t>
      </w:r>
    </w:p>
    <w:p>
      <w:pPr>
        <w:pStyle w:val="Heading1"/>
        <w:keepNext/>
        <w:spacing w:after="120" w:before="240" w:line="276"/>
      </w:pPr>
      <w:r>
        <w:rPr>
          <w:rFonts w:ascii="Arial" w:cs="Arial" w:eastAsia="Arial" w:hAnsi="Arial"/>
          <w:color w:val="000000"/>
          <w:sz w:val="19"/>
          <w:szCs w:val="19"/>
        </w:rPr>
        <w:t xml:space="preserve">4. Retorno, re-especificación por recarga y seguros</w:t>
      </w:r>
    </w:p>
    <w:p>
      <w:pPr>
        <w:keepNext/>
        <w:spacing w:after="60"/>
        <w:jc w:val="center"/>
      </w:pPr>
      <w:r>
        <w:drawing>
          <wp:inline distT="0" distB="0" distL="0" distR="0">
            <wp:extent cx="5943600" cy="22383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43600" cy="223837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Ciclo en servicio.</w:t>
      </w:r>
    </w:p>
    <w:p>
      <w:pPr>
        <w:pStyle w:val="Heading2"/>
        <w:keepNext/>
        <w:spacing w:after="80" w:before="180" w:line="276"/>
      </w:pPr>
      <w:r>
        <w:rPr>
          <w:rFonts w:ascii="Arial" w:cs="Arial" w:eastAsia="Arial" w:hAnsi="Arial"/>
          <w:color w:val="000000"/>
          <w:sz w:val="19"/>
          <w:szCs w:val="19"/>
        </w:rPr>
        <w:t xml:space="preserve">4.1 Aviso</w:t>
      </w:r>
    </w:p>
    <w:p>
      <w:pPr>
        <w:spacing w:after="100" w:before="0" w:line="276"/>
      </w:pPr>
      <w:r>
        <w:rPr>
          <w:rFonts w:ascii="Arial" w:cs="Arial" w:eastAsia="Arial" w:hAnsi="Arial"/>
          <w:color w:val="000000"/>
          <w:sz w:val="19"/>
          <w:szCs w:val="19"/>
        </w:rPr>
        <w:t xml:space="preserve">El sistema conoce el vencimiento de cada equipo: mantenimiento anual (IRAM 3517-2 9.2.1; semestral recomendado en vehículos) y PH cada 5 años en polvo (anexo E). Avisa al cliente antes de que venza (</w:t>
      </w:r>
      <w:r>
        <w:rPr>
          <w:rFonts w:ascii="Arial" w:cs="Arial" w:eastAsia="Arial" w:hAnsi="Arial"/>
          <w:b/>
          <w:bCs/>
          <w:color w:val="000000"/>
          <w:sz w:val="19"/>
          <w:szCs w:val="19"/>
        </w:rPr>
        <w:t xml:space="preserve">criterio</w:t>
      </w:r>
      <w:r>
        <w:rPr>
          <w:rFonts w:ascii="Arial" w:cs="Arial" w:eastAsia="Arial" w:hAnsi="Arial"/>
          <w:color w:val="000000"/>
          <w:sz w:val="19"/>
          <w:szCs w:val="19"/>
        </w:rPr>
        <w:t xml:space="preserve">: 30 días).</w:t>
      </w:r>
    </w:p>
    <w:p>
      <w:pPr>
        <w:pStyle w:val="Heading2"/>
        <w:keepNext/>
        <w:spacing w:after="80" w:before="180" w:line="276"/>
      </w:pPr>
      <w:r>
        <w:rPr>
          <w:rFonts w:ascii="Arial" w:cs="Arial" w:eastAsia="Arial" w:hAnsi="Arial"/>
          <w:color w:val="000000"/>
          <w:sz w:val="19"/>
          <w:szCs w:val="19"/>
        </w:rPr>
        <w:t xml:space="preserve">4.2 Retiro y sustituto</w:t>
      </w:r>
    </w:p>
    <w:p>
      <w:pPr>
        <w:pStyle w:val="ListParagraph"/>
        <w:numPr>
          <w:ilvl w:val="0"/>
          <w:numId w:val="2"/>
        </w:numPr>
        <w:spacing w:after="40" w:before="0" w:line="276"/>
      </w:pPr>
      <w:r>
        <w:rPr>
          <w:rFonts w:ascii="Arial" w:cs="Arial" w:eastAsia="Arial" w:hAnsi="Arial"/>
          <w:color w:val="000000"/>
          <w:sz w:val="19"/>
          <w:szCs w:val="19"/>
        </w:rPr>
        <w:t xml:space="preserve">Se deja un sustituto de igual clasificación y por lo menos igual capacidad (9.4.5), con la faja amarilla abierta (0.1) y la tarjeta «sustituto habilitado» (Res. 349/07 art. 32).</w:t>
      </w:r>
    </w:p>
    <w:p>
      <w:pPr>
        <w:pStyle w:val="ListParagraph"/>
        <w:numPr>
          <w:ilvl w:val="0"/>
          <w:numId w:val="2"/>
        </w:numPr>
        <w:spacing w:after="40" w:before="0" w:line="276"/>
      </w:pPr>
      <w:r>
        <w:rPr>
          <w:rFonts w:ascii="Arial" w:cs="Arial" w:eastAsia="Arial" w:hAnsi="Arial"/>
          <w:color w:val="000000"/>
          <w:sz w:val="19"/>
          <w:szCs w:val="19"/>
        </w:rPr>
        <w:t xml:space="preserve">La app </w:t>
      </w:r>
      <w:r>
        <w:rPr>
          <w:rFonts w:ascii="Arial" w:cs="Arial" w:eastAsia="Arial" w:hAnsi="Arial"/>
          <w:b/>
          <w:bCs/>
          <w:color w:val="000000"/>
          <w:sz w:val="19"/>
          <w:szCs w:val="19"/>
        </w:rPr>
        <w:t xml:space="preserve">parea</w:t>
      </w:r>
      <w:r>
        <w:rPr>
          <w:rFonts w:ascii="Arial" w:cs="Arial" w:eastAsia="Arial" w:hAnsi="Arial"/>
          <w:color w:val="000000"/>
          <w:sz w:val="19"/>
          <w:szCs w:val="19"/>
        </w:rPr>
        <w:t xml:space="preserve"> sustituto ↔ equipo retirado: se sabe dónde está cada sustituto y cuántos días lleva afuera.</w:t>
      </w:r>
    </w:p>
    <w:p>
      <w:pPr>
        <w:pStyle w:val="ListParagraph"/>
        <w:numPr>
          <w:ilvl w:val="0"/>
          <w:numId w:val="2"/>
        </w:numPr>
        <w:spacing w:after="40" w:before="0" w:line="276"/>
      </w:pPr>
      <w:r>
        <w:rPr>
          <w:rFonts w:ascii="Arial" w:cs="Arial" w:eastAsia="Arial" w:hAnsi="Arial"/>
          <w:color w:val="000000"/>
          <w:sz w:val="19"/>
          <w:szCs w:val="19"/>
        </w:rPr>
        <w:t xml:space="preserve">El equipo retirado viaja con su serie: lectura sale ✓ del cliente y entra ✓ en recargas.</w:t>
      </w:r>
    </w:p>
    <w:p>
      <w:pPr>
        <w:pStyle w:val="Heading2"/>
        <w:keepNext/>
        <w:spacing w:after="80" w:before="180" w:line="276"/>
      </w:pPr>
      <w:r>
        <w:rPr>
          <w:rFonts w:ascii="Arial" w:cs="Arial" w:eastAsia="Arial" w:hAnsi="Arial"/>
          <w:color w:val="000000"/>
          <w:sz w:val="19"/>
          <w:szCs w:val="19"/>
        </w:rPr>
        <w:t xml:space="preserve">4.3 Recepción en recargas</w:t>
      </w:r>
    </w:p>
    <w:p>
      <w:pPr>
        <w:spacing w:after="100" w:before="0" w:line="276"/>
      </w:pPr>
      <w:r>
        <w:rPr>
          <w:rFonts w:ascii="Arial" w:cs="Arial" w:eastAsia="Arial" w:hAnsi="Arial"/>
          <w:color w:val="000000"/>
          <w:sz w:val="19"/>
          <w:szCs w:val="19"/>
        </w:rPr>
        <w:t xml:space="preserve">Se lee el grabado, se saca foto y la app aplica el anexo F y 9.7.1.3 como bloqueos (tercera pantalla de 2.1):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370"/>
        <w:gridCol w:w="1748"/>
        <w:gridCol w:w="3788"/>
      </w:tblGrid>
      <w:tr>
        <w:trPr>
          <w:cantSplit/>
          <w:tblHeader/>
        </w:trPr>
        <w:tc>
          <w:tcPr>
            <w:tcW w:type="dxa" w:w="437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Revisión</w:t>
            </w:r>
          </w:p>
        </w:tc>
        <w:tc>
          <w:tcPr>
            <w:tcW w:type="dxa" w:w="174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Fuente</w:t>
            </w:r>
          </w:p>
        </w:tc>
        <w:tc>
          <w:tcPr>
            <w:tcW w:type="dxa" w:w="378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hace la app</w:t>
            </w:r>
          </w:p>
        </w:tc>
      </w:tr>
      <w:tr>
        <w:trPr>
          <w:cantSplit/>
        </w:trPr>
        <w:tc>
          <w:tcPr>
            <w:tcW w:type="dxa" w:w="43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Fecha de fabricación o n° de serie faltante o adulterado</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anexo F; 9.11</w:t>
            </w:r>
          </w:p>
        </w:tc>
        <w:tc>
          <w:tcPr>
            <w:tcW w:type="dxa" w:w="37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INUTILIZAR</w:t>
            </w:r>
          </w:p>
        </w:tc>
      </w:tr>
      <w:tr>
        <w:trPr>
          <w:cantSplit/>
        </w:trPr>
        <w:tc>
          <w:tcPr>
            <w:tcW w:type="dxa" w:w="43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Vida útil cumplida (20 años polvo)</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9.11; anexo E</w:t>
            </w:r>
          </w:p>
        </w:tc>
        <w:tc>
          <w:tcPr>
            <w:tcW w:type="dxa" w:w="37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INUTILIZAR</w:t>
            </w:r>
          </w:p>
        </w:tc>
      </w:tr>
      <w:tr>
        <w:trPr>
          <w:cantSplit/>
        </w:trPr>
        <w:tc>
          <w:tcPr>
            <w:tcW w:type="dxa" w:w="43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Reparaciones por soldadura o masilla, corrosión, quemado</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9.7.1.3</w:t>
            </w:r>
          </w:p>
        </w:tc>
        <w:tc>
          <w:tcPr>
            <w:tcW w:type="dxa" w:w="37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INUTILIZAR sin PH</w:t>
            </w:r>
          </w:p>
        </w:tc>
      </w:tr>
      <w:tr>
        <w:trPr>
          <w:cantSplit/>
        </w:trPr>
        <w:tc>
          <w:tcPr>
            <w:tcW w:type="dxa" w:w="43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Daño mecánico, abolladura o abrasión</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anexo F</w:t>
            </w:r>
          </w:p>
        </w:tc>
        <w:tc>
          <w:tcPr>
            <w:tcW w:type="dxa" w:w="37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INUTILIZAR</w:t>
            </w:r>
          </w:p>
        </w:tc>
      </w:tr>
      <w:tr>
        <w:trPr>
          <w:cantSplit/>
        </w:trPr>
        <w:tc>
          <w:tcPr>
            <w:tcW w:type="dxa" w:w="43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Daños menores por corrosión o golpe</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9.7.1.2</w:t>
            </w:r>
          </w:p>
        </w:tc>
        <w:tc>
          <w:tcPr>
            <w:tcW w:type="dxa" w:w="37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exige PH</w:t>
            </w:r>
          </w:p>
        </w:tc>
      </w:tr>
      <w:tr>
        <w:trPr>
          <w:cantSplit/>
        </w:trPr>
        <w:tc>
          <w:tcPr>
            <w:tcW w:type="dxa" w:w="43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PH vencida</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anexo E</w:t>
            </w:r>
          </w:p>
        </w:tc>
        <w:tc>
          <w:tcPr>
            <w:tcW w:type="dxa" w:w="37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exige PH</w:t>
            </w:r>
          </w:p>
        </w:tc>
      </w:tr>
      <w:tr>
        <w:trPr>
          <w:cantSplit/>
        </w:trPr>
        <w:tc>
          <w:tcPr>
            <w:tcW w:type="dxa" w:w="43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Pintura deficiente</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9.10; anexo F</w:t>
            </w:r>
          </w:p>
        </w:tc>
        <w:tc>
          <w:tcPr>
            <w:tcW w:type="dxa" w:w="37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exige pintura y etiqueta nueva</w:t>
            </w:r>
          </w:p>
        </w:tc>
      </w:tr>
      <w:tr>
        <w:trPr>
          <w:cantSplit/>
        </w:trPr>
        <w:tc>
          <w:tcPr>
            <w:tcW w:type="dxa" w:w="43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Tipo de agente</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9.4.6</w:t>
            </w:r>
          </w:p>
        </w:tc>
        <w:tc>
          <w:tcPr>
            <w:tcW w:type="dxa" w:w="37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 deja cargar otro agente</w:t>
            </w:r>
          </w:p>
        </w:tc>
      </w:tr>
    </w:tbl>
    <w:p>
      <w:pPr>
        <w:spacing w:after="120"/>
      </w:pPr>
    </w:p>
    <w:p>
      <w:pPr>
        <w:pStyle w:val="Heading2"/>
        <w:keepNext/>
        <w:spacing w:after="80" w:before="180" w:line="276"/>
      </w:pPr>
      <w:r>
        <w:rPr>
          <w:rFonts w:ascii="Arial" w:cs="Arial" w:eastAsia="Arial" w:hAnsi="Arial"/>
          <w:color w:val="000000"/>
          <w:sz w:val="19"/>
          <w:szCs w:val="19"/>
        </w:rPr>
        <w:t xml:space="preserve">4.4 Servicio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39"/>
        <w:gridCol w:w="5536"/>
        <w:gridCol w:w="2331"/>
      </w:tblGrid>
      <w:tr>
        <w:trPr>
          <w:cantSplit/>
          <w:tblHeader/>
        </w:trPr>
        <w:tc>
          <w:tcPr>
            <w:tcW w:type="dxa" w:w="203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Paso</w:t>
            </w:r>
          </w:p>
        </w:tc>
        <w:tc>
          <w:tcPr>
            <w:tcW w:type="dxa" w:w="553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Registro</w:t>
            </w:r>
          </w:p>
        </w:tc>
        <w:tc>
          <w:tcPr>
            <w:tcW w:type="dxa" w:w="233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Fuente</w:t>
            </w:r>
          </w:p>
        </w:tc>
      </w:tr>
      <w:tr>
        <w:trPr>
          <w:cantSplit/>
        </w:trPr>
        <w:tc>
          <w:tcPr>
            <w:tcW w:type="dxa" w:w="203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Desarmado</w:t>
            </w:r>
          </w:p>
        </w:tc>
        <w:tc>
          <w:tcPr>
            <w:tcW w:type="dxa" w:w="55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marbete indicador nuevo entre válvula y cuello: color del año y n° de serie o lote del marbete</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9.6.1 a 9.6.4</w:t>
            </w:r>
          </w:p>
        </w:tc>
      </w:tr>
      <w:tr>
        <w:trPr>
          <w:cantSplit/>
        </w:trPr>
        <w:tc>
          <w:tcPr>
            <w:tcW w:type="dxa" w:w="203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PH (si corresponde)</w:t>
            </w:r>
          </w:p>
        </w:tc>
        <w:tc>
          <w:tcPr>
            <w:tcW w:type="dxa" w:w="55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presión 2,5 × Ps (rodantes 4 MPa), 1 min, resultado</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9.7.3; 9.7.5.2</w:t>
            </w:r>
          </w:p>
        </w:tc>
      </w:tr>
      <w:tr>
        <w:trPr>
          <w:cantSplit/>
        </w:trPr>
        <w:tc>
          <w:tcPr>
            <w:tcW w:type="dxa" w:w="203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Secado</w:t>
            </w:r>
          </w:p>
        </w:tc>
        <w:tc>
          <w:tcPr>
            <w:tcW w:type="dxa" w:w="55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control con cámara</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9.8.2</w:t>
            </w:r>
          </w:p>
        </w:tc>
      </w:tr>
      <w:tr>
        <w:trPr>
          <w:cantSplit/>
        </w:trPr>
        <w:tc>
          <w:tcPr>
            <w:tcW w:type="dxa" w:w="203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w:t>
            </w:r>
          </w:p>
        </w:tc>
        <w:tc>
          <w:tcPr>
            <w:tcW w:type="dxa" w:w="55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del agente, masa</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9.9; tabla 3</w:t>
            </w:r>
          </w:p>
        </w:tc>
      </w:tr>
      <w:tr>
        <w:trPr>
          <w:cantSplit/>
        </w:trPr>
        <w:tc>
          <w:tcPr>
            <w:tcW w:type="dxa" w:w="203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Pintura</w:t>
            </w:r>
          </w:p>
        </w:tc>
        <w:tc>
          <w:tcPr>
            <w:tcW w:type="dxa" w:w="55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 corresponde; reimprime la etiqueta con QR</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9.10</w:t>
            </w:r>
          </w:p>
        </w:tc>
      </w:tr>
      <w:tr>
        <w:trPr>
          <w:cantSplit/>
        </w:trPr>
        <w:tc>
          <w:tcPr>
            <w:tcW w:type="dxa" w:w="203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Precinto</w:t>
            </w:r>
          </w:p>
        </w:tc>
        <w:tc>
          <w:tcPr>
            <w:tcW w:type="dxa" w:w="55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 o lote del precinto (trazable)</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9.4.13</w:t>
            </w:r>
          </w:p>
        </w:tc>
      </w:tr>
      <w:tr>
        <w:trPr>
          <w:cantSplit/>
        </w:trPr>
        <w:tc>
          <w:tcPr>
            <w:tcW w:type="dxa" w:w="203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servicio</w:t>
            </w:r>
          </w:p>
        </w:tc>
        <w:tc>
          <w:tcPr>
            <w:tcW w:type="dxa" w:w="55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próximo mantenimiento, n° de serie del recipiente, vencimiento de PH, prestador</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9.4.14</w:t>
            </w:r>
          </w:p>
        </w:tc>
      </w:tr>
      <w:tr>
        <w:trPr>
          <w:cantSplit/>
        </w:trPr>
        <w:tc>
          <w:tcPr>
            <w:tcW w:type="dxa" w:w="203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Registro</w:t>
            </w:r>
          </w:p>
        </w:tc>
        <w:tc>
          <w:tcPr>
            <w:tcW w:type="dxa" w:w="55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con lote, procesos, propiedad; 6 años</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9.4.16</w:t>
            </w:r>
          </w:p>
        </w:tc>
      </w:tr>
    </w:tbl>
    <w:p>
      <w:pPr>
        <w:spacing w:after="120"/>
      </w:pPr>
    </w:p>
    <w:p>
      <w:pPr>
        <w:pStyle w:val="Heading2"/>
        <w:keepNext/>
        <w:spacing w:after="80" w:before="180" w:line="276"/>
      </w:pPr>
      <w:r>
        <w:rPr>
          <w:rFonts w:ascii="Arial" w:cs="Arial" w:eastAsia="Arial" w:hAnsi="Arial"/>
          <w:color w:val="000000"/>
          <w:sz w:val="19"/>
          <w:szCs w:val="19"/>
        </w:rPr>
        <w:t xml:space="preserve">4.5 Re-especificación: ficha rev. n+1</w:t>
      </w:r>
    </w:p>
    <w:p>
      <w:pPr>
        <w:spacing w:after="100" w:before="0" w:line="276"/>
      </w:pPr>
      <w:r>
        <w:rPr>
          <w:rFonts w:ascii="Arial" w:cs="Arial" w:eastAsia="Arial" w:hAnsi="Arial"/>
          <w:color w:val="000000"/>
          <w:sz w:val="19"/>
          <w:szCs w:val="19"/>
        </w:rPr>
        <w:t xml:space="preserve">El equipo nace con la ficha rev. 0 (cómo se fabricó). Cada servicio cierra una revisión nueva (cómo quedó); las anteriores no se borran.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65"/>
        <w:gridCol w:w="3205"/>
        <w:gridCol w:w="4836"/>
      </w:tblGrid>
      <w:tr>
        <w:trPr>
          <w:cantSplit/>
          <w:tblHeader/>
        </w:trPr>
        <w:tc>
          <w:tcPr>
            <w:tcW w:type="dxa" w:w="186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Campo</w:t>
            </w:r>
          </w:p>
        </w:tc>
        <w:tc>
          <w:tcPr>
            <w:tcW w:type="dxa" w:w="320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Rev. 0 (fábrica)</w:t>
            </w:r>
          </w:p>
        </w:tc>
        <w:tc>
          <w:tcPr>
            <w:tcW w:type="dxa" w:w="483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Rev. n+1 (servicio)</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Agente</w:t>
            </w:r>
          </w:p>
        </w:tc>
        <w:tc>
          <w:tcPr>
            <w:tcW w:type="dxa" w:w="32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de fábrica, masa</w:t>
            </w:r>
          </w:p>
        </w:tc>
        <w:tc>
          <w:tcPr>
            <w:tcW w:type="dxa" w:w="48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de la recarga, masa nueva (o recuperado + reposición)</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Presión</w:t>
            </w:r>
          </w:p>
        </w:tc>
        <w:tc>
          <w:tcPr>
            <w:tcW w:type="dxa" w:w="32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1,4 MPa de fábrica</w:t>
            </w:r>
          </w:p>
        </w:tc>
        <w:tc>
          <w:tcPr>
            <w:tcW w:type="dxa" w:w="48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presión de servicio medida</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Componentes</w:t>
            </w:r>
          </w:p>
        </w:tc>
        <w:tc>
          <w:tcPr>
            <w:tcW w:type="dxa" w:w="32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válvula, manómetro, manguera de fábrica</w:t>
            </w:r>
          </w:p>
        </w:tc>
        <w:tc>
          <w:tcPr>
            <w:tcW w:type="dxa" w:w="48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los que se cambiaron, con su lote</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PH</w:t>
            </w:r>
          </w:p>
        </w:tc>
        <w:tc>
          <w:tcPr>
            <w:tcW w:type="dxa" w:w="32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PH de fábrica</w:t>
            </w:r>
          </w:p>
        </w:tc>
        <w:tc>
          <w:tcPr>
            <w:tcW w:type="dxa" w:w="48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fecha, presión y resultado si tocó</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Terminación</w:t>
            </w:r>
          </w:p>
        </w:tc>
        <w:tc>
          <w:tcPr>
            <w:tcW w:type="dxa" w:w="32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pintura de fábrica</w:t>
            </w:r>
          </w:p>
        </w:tc>
        <w:tc>
          <w:tcPr>
            <w:tcW w:type="dxa" w:w="48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repintado, etiqueta nueva</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Marbete y precinto</w:t>
            </w:r>
          </w:p>
        </w:tc>
        <w:tc>
          <w:tcPr>
            <w:tcW w:type="dxa" w:w="32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48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color del año y n°; precinto nuevo</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Vencimientos</w:t>
            </w:r>
          </w:p>
        </w:tc>
        <w:tc>
          <w:tcPr>
            <w:tcW w:type="dxa" w:w="32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 y PH</w:t>
            </w:r>
          </w:p>
        </w:tc>
        <w:tc>
          <w:tcPr>
            <w:tcW w:type="dxa" w:w="48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recalculados; la vida útil sigue contando desde la fabricación y ningún vencimiento puede pasarla (9.11)</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Responsable</w:t>
            </w:r>
          </w:p>
        </w:tc>
        <w:tc>
          <w:tcPr>
            <w:tcW w:type="dxa" w:w="32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FLAMA</w:t>
            </w:r>
          </w:p>
        </w:tc>
        <w:tc>
          <w:tcPr>
            <w:tcW w:type="dxa" w:w="48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recargador, tarjeta DPS / AGC</w:t>
            </w:r>
          </w:p>
        </w:tc>
      </w:tr>
    </w:tbl>
    <w:p>
      <w:pPr>
        <w:spacing w:after="120"/>
      </w:pPr>
    </w:p>
    <w:p>
      <w:pPr>
        <w:pStyle w:val="Heading2"/>
        <w:keepNext/>
        <w:spacing w:after="80" w:before="180" w:line="276"/>
      </w:pPr>
      <w:r>
        <w:rPr>
          <w:rFonts w:ascii="Arial" w:cs="Arial" w:eastAsia="Arial" w:hAnsi="Arial"/>
          <w:color w:val="000000"/>
          <w:sz w:val="19"/>
          <w:szCs w:val="19"/>
        </w:rPr>
        <w:t xml:space="preserve">4.6 Recargas de equipos de otras marcas</w:t>
      </w:r>
    </w:p>
    <w:p>
      <w:pPr>
        <w:spacing w:after="100" w:before="0" w:line="276"/>
      </w:pPr>
      <w:r>
        <w:rPr>
          <w:rFonts w:ascii="Arial" w:cs="Arial" w:eastAsia="Arial" w:hAnsi="Arial"/>
          <w:color w:val="000000"/>
          <w:sz w:val="19"/>
          <w:szCs w:val="19"/>
        </w:rPr>
        <w:t xml:space="preserve">Entran igual que un revendido (sección 6): se identifican por el grabado de su fabricante y reciben una etiqueta FLAMA con QR; desde ahí tienen legajo propio.</w:t>
      </w:r>
    </w:p>
    <w:p>
      <w:pPr>
        <w:pStyle w:val="Heading2"/>
        <w:keepNext/>
        <w:spacing w:after="80" w:before="180" w:line="276"/>
      </w:pPr>
      <w:r>
        <w:rPr>
          <w:rFonts w:ascii="Arial" w:cs="Arial" w:eastAsia="Arial" w:hAnsi="Arial"/>
          <w:color w:val="000000"/>
          <w:sz w:val="19"/>
          <w:szCs w:val="19"/>
        </w:rPr>
        <w:t xml:space="preserve">4.7 Seguros y llamado a revisión</w:t>
      </w:r>
    </w:p>
    <w:p>
      <w:pPr>
        <w:spacing w:after="100" w:before="0" w:line="276"/>
      </w:pPr>
      <w:r>
        <w:rPr>
          <w:rFonts w:ascii="Arial" w:cs="Arial" w:eastAsia="Arial" w:hAnsi="Arial"/>
          <w:color w:val="000000"/>
          <w:sz w:val="19"/>
          <w:szCs w:val="19"/>
        </w:rPr>
        <w:t xml:space="preserve">El sistema no cambia lo que cubre una póliza (eso lo dice cada póliza; ver por ejemplo </w:t>
      </w:r>
      <w:hyperlink w:history="1" r:id="rIdzfxhp2hrxcnkgyzhs-wcy">
        <w:r>
          <w:rPr>
            <w:rFonts w:ascii="Arial" w:cs="Arial" w:eastAsia="Arial" w:hAnsi="Arial"/>
            <w:color w:val="1F1F1F"/>
            <w:sz w:val="19"/>
            <w:szCs w:val="19"/>
            <w:u w:val="single"/>
          </w:rPr>
          <w:t xml:space="preserve">qué cubre un seguro de incendio</w:t>
        </w:r>
      </w:hyperlink>
      <w:r>
        <w:rPr>
          <w:rFonts w:ascii="Arial" w:cs="Arial" w:eastAsia="Arial" w:hAnsi="Arial"/>
          <w:color w:val="000000"/>
          <w:sz w:val="19"/>
          <w:szCs w:val="19"/>
        </w:rPr>
        <w:t xml:space="preserve">), pero da la prueba: con el QR se muestra, a la fecha del siniestro, el último servicio, el marbete vigente, la ubicación y las fotos, con la cadena de hashes como garantía de que no se editó. No encontré una fuente que diga que la aseguradora condiciona el pago al mantenimiento.</w:t>
      </w:r>
    </w:p>
    <w:p>
      <w:pPr>
        <w:spacing w:after="100" w:before="0" w:line="276"/>
      </w:pPr>
      <w:r>
        <w:rPr>
          <w:rFonts w:ascii="Arial" w:cs="Arial" w:eastAsia="Arial" w:hAnsi="Arial"/>
          <w:color w:val="000000"/>
          <w:sz w:val="19"/>
          <w:szCs w:val="19"/>
        </w:rPr>
        <w:t xml:space="preserve">Para FLAMA el valor fuerte es el </w:t>
      </w:r>
      <w:r>
        <w:rPr>
          <w:rFonts w:ascii="Arial" w:cs="Arial" w:eastAsia="Arial" w:hAnsi="Arial"/>
          <w:b/>
          <w:bCs/>
          <w:color w:val="000000"/>
          <w:sz w:val="19"/>
          <w:szCs w:val="19"/>
        </w:rPr>
        <w:t xml:space="preserve">llamado a revisión</w:t>
      </w:r>
      <w:r>
        <w:rPr>
          <w:rFonts w:ascii="Arial" w:cs="Arial" w:eastAsia="Arial" w:hAnsi="Arial"/>
          <w:color w:val="000000"/>
          <w:sz w:val="19"/>
          <w:szCs w:val="19"/>
        </w:rPr>
        <w:t xml:space="preserve">: lote con problema → series → quién lo tiene (custodia) → aviso directo y retiro. Sin agregación y custodia no se puede hacer.</w:t>
      </w:r>
    </w:p>
    <w:p>
      <w:pPr>
        <w:pStyle w:val="Heading1"/>
        <w:keepNext/>
        <w:spacing w:after="120" w:before="240" w:line="276"/>
      </w:pPr>
      <w:r>
        <w:rPr>
          <w:rFonts w:ascii="Arial" w:cs="Arial" w:eastAsia="Arial" w:hAnsi="Arial"/>
          <w:color w:val="000000"/>
          <w:sz w:val="19"/>
          <w:szCs w:val="19"/>
        </w:rPr>
        <w:t xml:space="preserve">5. Devolución al cliente e inutilización</w:t>
      </w:r>
    </w:p>
    <w:p>
      <w:pPr>
        <w:pStyle w:val="Heading2"/>
        <w:keepNext/>
        <w:spacing w:after="80" w:before="180" w:line="276"/>
      </w:pPr>
      <w:r>
        <w:rPr>
          <w:rFonts w:ascii="Arial" w:cs="Arial" w:eastAsia="Arial" w:hAnsi="Arial"/>
          <w:color w:val="000000"/>
          <w:sz w:val="19"/>
          <w:szCs w:val="19"/>
        </w:rPr>
        <w:t xml:space="preserve">5.1 Devolución</w:t>
      </w:r>
    </w:p>
    <w:p>
      <w:pPr>
        <w:pStyle w:val="ListParagraph"/>
        <w:numPr>
          <w:ilvl w:val="0"/>
          <w:numId w:val="2"/>
        </w:numPr>
        <w:spacing w:after="40" w:before="0" w:line="276"/>
      </w:pPr>
      <w:r>
        <w:rPr>
          <w:rFonts w:ascii="Arial" w:cs="Arial" w:eastAsia="Arial" w:hAnsi="Arial"/>
          <w:color w:val="000000"/>
          <w:sz w:val="19"/>
          <w:szCs w:val="19"/>
        </w:rPr>
        <w:t xml:space="preserve">Doble lectura en la propiedad: el equipo entra ✓ y el sustituto sale ✓; el pareo se cierra.</w:t>
      </w:r>
    </w:p>
    <w:p>
      <w:pPr>
        <w:pStyle w:val="ListParagraph"/>
        <w:numPr>
          <w:ilvl w:val="0"/>
          <w:numId w:val="2"/>
        </w:numPr>
        <w:spacing w:after="40" w:before="0" w:line="276"/>
      </w:pPr>
      <w:r>
        <w:rPr>
          <w:rFonts w:ascii="Arial" w:cs="Arial" w:eastAsia="Arial" w:hAnsi="Arial"/>
          <w:color w:val="000000"/>
          <w:sz w:val="19"/>
          <w:szCs w:val="19"/>
        </w:rPr>
        <w:t xml:space="preserve">Estado EN SERVICIO con la ficha rev. n+1; el QR muestra el servicio nuevo.</w:t>
      </w:r>
    </w:p>
    <w:p>
      <w:pPr>
        <w:pStyle w:val="Heading2"/>
        <w:keepNext/>
        <w:spacing w:after="80" w:before="180" w:line="276"/>
      </w:pPr>
      <w:r>
        <w:rPr>
          <w:rFonts w:ascii="Arial" w:cs="Arial" w:eastAsia="Arial" w:hAnsi="Arial"/>
          <w:color w:val="000000"/>
          <w:sz w:val="19"/>
          <w:szCs w:val="19"/>
        </w:rPr>
        <w:t xml:space="preserve">5.2 Inutilización paso a paso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48"/>
        <w:gridCol w:w="4079"/>
        <w:gridCol w:w="1748"/>
        <w:gridCol w:w="2331"/>
      </w:tblGrid>
      <w:tr>
        <w:trPr>
          <w:cantSplit/>
          <w:tblHeader/>
        </w:trPr>
        <w:tc>
          <w:tcPr>
            <w:tcW w:type="dxa" w:w="174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Paso</w:t>
            </w:r>
          </w:p>
        </w:tc>
        <w:tc>
          <w:tcPr>
            <w:tcW w:type="dxa" w:w="407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se hace</w:t>
            </w:r>
          </w:p>
        </w:tc>
        <w:tc>
          <w:tcPr>
            <w:tcW w:type="dxa" w:w="174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Fuente</w:t>
            </w:r>
          </w:p>
        </w:tc>
        <w:tc>
          <w:tcPr>
            <w:tcW w:type="dxa" w:w="233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Registro</w:t>
            </w:r>
          </w:p>
        </w:tc>
      </w:tr>
      <w:tr>
        <w:trPr>
          <w:cantSplit/>
        </w:trPr>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Decisión</w:t>
            </w:r>
          </w:p>
        </w:tc>
        <w:tc>
          <w:tcPr>
            <w:tcW w:type="dxa" w:w="40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app lo indica por regla (4.3) o por falla en PH (9.7.6)</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9.7.1.3; 9.7.6; 9.11</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motivo</w:t>
            </w:r>
          </w:p>
        </w:tc>
      </w:tr>
      <w:tr>
        <w:trPr>
          <w:cantSplit/>
        </w:trPr>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Agente</w:t>
            </w:r>
          </w:p>
        </w:tc>
        <w:tc>
          <w:tcPr>
            <w:tcW w:type="dxa" w:w="40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retira y va a disposición según normas ambientales</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9.12.1 a)</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 y destino</w:t>
            </w:r>
          </w:p>
        </w:tc>
      </w:tr>
      <w:tr>
        <w:trPr>
          <w:cantSplit/>
        </w:trPr>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Cilindro expulsor (si tiene)</w:t>
            </w:r>
          </w:p>
        </w:tc>
        <w:tc>
          <w:tcPr>
            <w:tcW w:type="dxa" w:w="40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dos orificios de Ø ≥ 10 mm en lugar visible</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9.12.1 b)</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foto</w:t>
            </w:r>
          </w:p>
        </w:tc>
      </w:tr>
      <w:tr>
        <w:trPr>
          <w:cantSplit/>
        </w:trPr>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 Recipiente</w:t>
            </w:r>
          </w:p>
        </w:tc>
        <w:tc>
          <w:tcPr>
            <w:tcW w:type="dxa" w:w="40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dos orificios de Ø ≥ 10 mm en lugar visible, </w:t>
            </w:r>
            <w:r>
              <w:rPr>
                <w:rFonts w:ascii="Arial" w:cs="Arial" w:eastAsia="Arial" w:hAnsi="Arial"/>
                <w:b/>
                <w:bCs/>
                <w:color w:val="000000"/>
                <w:sz w:val="16"/>
                <w:szCs w:val="16"/>
              </w:rPr>
              <w:t xml:space="preserve">lejos de la franja</w:t>
            </w:r>
            <w:r>
              <w:rPr>
                <w:rFonts w:ascii="Arial" w:cs="Arial" w:eastAsia="Arial" w:hAnsi="Arial"/>
                <w:b w:val="false"/>
                <w:bCs w:val="false"/>
                <w:color w:val="000000"/>
                <w:sz w:val="16"/>
                <w:szCs w:val="16"/>
              </w:rPr>
              <w:t xml:space="preserve"> para que el grabado siga legible en la foto del acta (</w:t>
            </w:r>
            <w:r>
              <w:rPr>
                <w:rFonts w:ascii="Arial" w:cs="Arial" w:eastAsia="Arial" w:hAnsi="Arial"/>
                <w:b/>
                <w:bCs/>
                <w:color w:val="000000"/>
                <w:sz w:val="16"/>
                <w:szCs w:val="16"/>
              </w:rPr>
              <w:t xml:space="preserve">criterio</w:t>
            </w:r>
            <w:r>
              <w:rPr>
                <w:rFonts w:ascii="Arial" w:cs="Arial" w:eastAsia="Arial" w:hAnsi="Arial"/>
                <w:b w:val="false"/>
                <w:bCs w:val="false"/>
                <w:color w:val="000000"/>
                <w:sz w:val="16"/>
                <w:szCs w:val="16"/>
              </w:rPr>
              <w:t xml:space="preserve">)</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9.12.1 c)</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foto con grabado y orificios</w:t>
            </w:r>
          </w:p>
        </w:tc>
      </w:tr>
      <w:tr>
        <w:trPr>
          <w:cantSplit/>
        </w:trPr>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Manguera</w:t>
            </w:r>
          </w:p>
        </w:tc>
        <w:tc>
          <w:tcPr>
            <w:tcW w:type="dxa" w:w="40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cortada en dos partes como mínimo</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9.12.1 d)</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foto</w:t>
            </w:r>
          </w:p>
        </w:tc>
      </w:tr>
      <w:tr>
        <w:trPr>
          <w:cantSplit/>
        </w:trPr>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 Válvula y accesorios</w:t>
            </w:r>
          </w:p>
        </w:tc>
        <w:tc>
          <w:tcPr>
            <w:tcW w:type="dxa" w:w="40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 disposición final</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9.12.1 e)</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destino</w:t>
            </w:r>
          </w:p>
        </w:tc>
      </w:tr>
      <w:tr>
        <w:trPr>
          <w:cantSplit/>
        </w:trPr>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 Acta</w:t>
            </w:r>
          </w:p>
        </w:tc>
        <w:tc>
          <w:tcPr>
            <w:tcW w:type="dxa" w:w="40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acta del anexo G con equipo, marca, puesto, capacidad, tipo, fecha de fabricación y motivo; firmada y notificada al responsable de la propiedad</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9.12.2; anexo G</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PDF en el legajo</w:t>
            </w:r>
          </w:p>
        </w:tc>
      </w:tr>
      <w:tr>
        <w:trPr>
          <w:cantSplit/>
        </w:trPr>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 Depósito</w:t>
            </w:r>
          </w:p>
        </w:tc>
        <w:tc>
          <w:tcPr>
            <w:tcW w:type="dxa" w:w="40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queda 30 días corridos a disposición del propietario</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anexo G</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fecha de salida</w:t>
            </w:r>
          </w:p>
        </w:tc>
      </w:tr>
      <w:tr>
        <w:trPr>
          <w:cantSplit/>
        </w:trPr>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 Disposición final</w:t>
            </w:r>
          </w:p>
        </w:tc>
        <w:tc>
          <w:tcPr>
            <w:tcW w:type="dxa" w:w="40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chatarra y residuos según normas ambientales</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9.12.1</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certificado</w:t>
            </w:r>
          </w:p>
        </w:tc>
      </w:tr>
      <w:tr>
        <w:trPr>
          <w:cantSplit/>
        </w:trPr>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 Bloqueo</w:t>
            </w:r>
          </w:p>
        </w:tc>
        <w:tc>
          <w:tcPr>
            <w:tcW w:type="dxa" w:w="40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serie queda BAJA para siempre; leerlo muestra «INUTILIZADO — fecha — acta»</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evento final</w:t>
            </w:r>
          </w:p>
        </w:tc>
      </w:tr>
    </w:tbl>
    <w:p>
      <w:pPr>
        <w:spacing w:after="120"/>
      </w:pPr>
    </w:p>
    <w:p>
      <w:pPr>
        <w:spacing w:after="100" w:before="0" w:line="276"/>
      </w:pPr>
      <w:r>
        <w:rPr>
          <w:rFonts w:ascii="Arial" w:cs="Arial" w:eastAsia="Arial" w:hAnsi="Arial"/>
          <w:color w:val="000000"/>
          <w:sz w:val="19"/>
          <w:szCs w:val="19"/>
        </w:rPr>
        <w:t xml:space="preserve">La numeración queda auditable: cada serie está fabricado, anulado en planta o dado de baja.</w:t>
      </w:r>
    </w:p>
    <w:p>
      <w:pPr>
        <w:pStyle w:val="Heading1"/>
        <w:keepNext/>
        <w:spacing w:after="120" w:before="240" w:line="276"/>
      </w:pPr>
      <w:r>
        <w:rPr>
          <w:rFonts w:ascii="Arial" w:cs="Arial" w:eastAsia="Arial" w:hAnsi="Arial"/>
          <w:color w:val="000000"/>
          <w:sz w:val="19"/>
          <w:szCs w:val="19"/>
        </w:rPr>
        <w:t xml:space="preserve">6. Revendidos y equipos de otras marcas</w:t>
      </w:r>
    </w:p>
    <w:p>
      <w:pPr>
        <w:keepNext/>
        <w:spacing w:after="60"/>
        <w:jc w:val="center"/>
      </w:pPr>
      <w:r>
        <w:drawing>
          <wp:inline distT="0" distB="0" distL="0" distR="0">
            <wp:extent cx="5943600" cy="20193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43600" cy="20193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Recepción de un revendido.</w:t>
      </w:r>
    </w:p>
    <w:p>
      <w:pPr>
        <w:pStyle w:val="Heading2"/>
        <w:keepNext/>
        <w:spacing w:after="80" w:before="180" w:line="276"/>
      </w:pPr>
      <w:r>
        <w:rPr>
          <w:rFonts w:ascii="Arial" w:cs="Arial" w:eastAsia="Arial" w:hAnsi="Arial"/>
          <w:color w:val="000000"/>
          <w:sz w:val="19"/>
          <w:szCs w:val="19"/>
        </w:rPr>
        <w:t xml:space="preserve">6.1 Qué marcado trae cada uno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14"/>
        <w:gridCol w:w="2214"/>
        <w:gridCol w:w="4079"/>
        <w:gridCol w:w="1399"/>
      </w:tblGrid>
      <w:tr>
        <w:trPr>
          <w:cantSplit/>
          <w:tblHeader/>
        </w:trPr>
        <w:tc>
          <w:tcPr>
            <w:tcW w:type="dxa" w:w="221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Equipo revendido</w:t>
            </w:r>
          </w:p>
        </w:tc>
        <w:tc>
          <w:tcPr>
            <w:tcW w:type="dxa" w:w="221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Norma de fabricación</w:t>
            </w:r>
          </w:p>
        </w:tc>
        <w:tc>
          <w:tcPr>
            <w:tcW w:type="dxa" w:w="407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Marcado del fabricante</w:t>
            </w:r>
          </w:p>
        </w:tc>
        <w:tc>
          <w:tcPr>
            <w:tcW w:type="dxa" w:w="139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Leído</w:t>
            </w:r>
          </w:p>
        </w:tc>
      </w:tr>
      <w:tr>
        <w:trPr>
          <w:cantSplit/>
        </w:trPr>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BC 5 kg · Clase D 9 l</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3523</w:t>
            </w:r>
          </w:p>
        </w:tc>
        <w:tc>
          <w:tcPr>
            <w:tcW w:type="dxa" w:w="40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grabado de fabricante, n° y año (5.1)</w:t>
            </w:r>
          </w:p>
        </w:tc>
        <w:tc>
          <w:tcPr>
            <w:tcW w:type="dxa" w:w="13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sí</w:t>
            </w:r>
          </w:p>
        </w:tc>
      </w:tr>
      <w:tr>
        <w:trPr>
          <w:cantSplit/>
        </w:trPr>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Agua 10 l</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3525</w:t>
            </w:r>
          </w:p>
        </w:tc>
        <w:tc>
          <w:tcPr>
            <w:tcW w:type="dxa" w:w="40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grabado de fabricante, n° y año en el recipiente o accesorio fijo (5.1)</w:t>
            </w:r>
          </w:p>
        </w:tc>
        <w:tc>
          <w:tcPr>
            <w:tcW w:type="dxa" w:w="13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sí</w:t>
            </w:r>
          </w:p>
        </w:tc>
      </w:tr>
      <w:tr>
        <w:trPr>
          <w:cantSplit/>
        </w:trPr>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CO₂ 2 y 5 kg</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3509 / cilindro IRAM 2533</w:t>
            </w:r>
          </w:p>
        </w:tc>
        <w:tc>
          <w:tcPr>
            <w:tcW w:type="dxa" w:w="40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estampado del fabricante del cilindro</w:t>
            </w:r>
          </w:p>
        </w:tc>
        <w:tc>
          <w:tcPr>
            <w:tcW w:type="dxa" w:w="13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notas de los planos</w:t>
            </w:r>
          </w:p>
        </w:tc>
      </w:tr>
      <w:tr>
        <w:trPr>
          <w:cantSplit/>
        </w:trPr>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AFFF 10 l · AFFF 50 l</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3527 · IRAM 3541</w:t>
            </w:r>
          </w:p>
        </w:tc>
        <w:tc>
          <w:tcPr>
            <w:tcW w:type="dxa" w:w="40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 confirmar (PDF sin texto)</w:t>
            </w:r>
          </w:p>
        </w:tc>
        <w:tc>
          <w:tcPr>
            <w:tcW w:type="dxa" w:w="13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w:t>
            </w:r>
          </w:p>
        </w:tc>
      </w:tr>
      <w:tr>
        <w:trPr>
          <w:cantSplit/>
        </w:trPr>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Sales K 6 l</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3694</w:t>
            </w:r>
          </w:p>
        </w:tc>
        <w:tc>
          <w:tcPr>
            <w:tcW w:type="dxa" w:w="40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 confirmar</w:t>
            </w:r>
          </w:p>
        </w:tc>
        <w:tc>
          <w:tcPr>
            <w:tcW w:type="dxa" w:w="13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w:t>
            </w:r>
          </w:p>
        </w:tc>
      </w:tr>
      <w:tr>
        <w:trPr>
          <w:cantSplit/>
        </w:trPr>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HCFC/HFC 5 kg</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3504</w:t>
            </w:r>
          </w:p>
        </w:tc>
        <w:tc>
          <w:tcPr>
            <w:tcW w:type="dxa" w:w="40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 confirmar (PDF sin texto)</w:t>
            </w:r>
          </w:p>
        </w:tc>
        <w:tc>
          <w:tcPr>
            <w:tcW w:type="dxa" w:w="13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w:t>
            </w:r>
          </w:p>
        </w:tc>
      </w:tr>
    </w:tbl>
    <w:p>
      <w:pPr>
        <w:spacing w:after="120"/>
      </w:pPr>
    </w:p>
    <w:p>
      <w:pPr>
        <w:pStyle w:val="Heading2"/>
        <w:keepNext/>
        <w:spacing w:after="80" w:before="180" w:line="276"/>
      </w:pPr>
      <w:r>
        <w:rPr>
          <w:rFonts w:ascii="Arial" w:cs="Arial" w:eastAsia="Arial" w:hAnsi="Arial"/>
          <w:color w:val="000000"/>
          <w:sz w:val="19"/>
          <w:szCs w:val="19"/>
        </w:rPr>
        <w:t xml:space="preserve">6.2 Recepción paso a paso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65"/>
        <w:gridCol w:w="4836"/>
        <w:gridCol w:w="3205"/>
      </w:tblGrid>
      <w:tr>
        <w:trPr>
          <w:cantSplit/>
          <w:tblHeader/>
        </w:trPr>
        <w:tc>
          <w:tcPr>
            <w:tcW w:type="dxa" w:w="186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Paso</w:t>
            </w:r>
          </w:p>
        </w:tc>
        <w:tc>
          <w:tcPr>
            <w:tcW w:type="dxa" w:w="483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se hace</w:t>
            </w:r>
          </w:p>
        </w:tc>
        <w:tc>
          <w:tcPr>
            <w:tcW w:type="dxa" w:w="320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Por qué</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Antes de que llegue</w:t>
            </w:r>
          </w:p>
        </w:tc>
        <w:tc>
          <w:tcPr>
            <w:tcW w:type="dxa" w:w="48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orden de compra pide al proveedor la lista de series de cada remito (</w:t>
            </w:r>
            <w:r>
              <w:rPr>
                <w:rFonts w:ascii="Arial" w:cs="Arial" w:eastAsia="Arial" w:hAnsi="Arial"/>
                <w:b/>
                <w:bCs/>
                <w:color w:val="000000"/>
                <w:sz w:val="16"/>
                <w:szCs w:val="16"/>
              </w:rPr>
              <w:t xml:space="preserve">criterio</w:t>
            </w:r>
            <w:r>
              <w:rPr>
                <w:rFonts w:ascii="Arial" w:cs="Arial" w:eastAsia="Arial" w:hAnsi="Arial"/>
                <w:b w:val="false"/>
                <w:bCs w:val="false"/>
                <w:color w:val="000000"/>
                <w:sz w:val="16"/>
                <w:szCs w:val="16"/>
              </w:rPr>
              <w:t xml:space="preserve">)</w:t>
            </w:r>
          </w:p>
        </w:tc>
        <w:tc>
          <w:tcPr>
            <w:tcW w:type="dxa" w:w="32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recibe contra una lista, no a ciegas</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Lectura</w:t>
            </w:r>
          </w:p>
        </w:tc>
        <w:tc>
          <w:tcPr>
            <w:tcW w:type="dxa" w:w="48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foto del grabado; OCR o tipeo de fabricante + n° + año</w:t>
            </w:r>
          </w:p>
        </w:tc>
        <w:tc>
          <w:tcPr>
            <w:tcW w:type="dxa" w:w="32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 la identidad del equipo</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Control</w:t>
            </w:r>
          </w:p>
        </w:tc>
        <w:tc>
          <w:tcPr>
            <w:tcW w:type="dxa" w:w="48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grabado existe, es legible y está en la lista</w:t>
            </w:r>
          </w:p>
        </w:tc>
        <w:tc>
          <w:tcPr>
            <w:tcW w:type="dxa" w:w="32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grabado no se puede recargar nunca (9.11; anexo F)</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 Alta</w:t>
            </w:r>
          </w:p>
        </w:tc>
        <w:tc>
          <w:tcPr>
            <w:tcW w:type="dxa" w:w="48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clave = fabricante + n° + año (el n° solo puede repetirse entre marcas); el sistema le da un ID FLAMA R-AA-NNNNNN</w:t>
            </w:r>
          </w:p>
        </w:tc>
        <w:tc>
          <w:tcPr>
            <w:tcW w:type="dxa" w:w="32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una sola clave por equipo</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Etiqueta</w:t>
            </w:r>
          </w:p>
        </w:tc>
        <w:tc>
          <w:tcPr>
            <w:tcW w:type="dxa" w:w="48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QR del ID FLAMA en vinilo destructible, del lado opuesto a la etiqueta del fabricante, sin tapar su grabado ni su placa (9.4.15)</w:t>
            </w:r>
          </w:p>
        </w:tc>
        <w:tc>
          <w:tcPr>
            <w:tcW w:type="dxa" w:w="32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 se puede pasar a otro equipo</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 Stock</w:t>
            </w:r>
          </w:p>
        </w:tc>
        <w:tc>
          <w:tcPr>
            <w:tcW w:type="dxa" w:w="48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entra al depósito con su lote de compra</w:t>
            </w:r>
          </w:p>
        </w:tc>
        <w:tc>
          <w:tcPr>
            <w:tcW w:type="dxa" w:w="32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llamado a revisión del proveedor</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 Si no tiene grabado</w:t>
            </w:r>
          </w:p>
        </w:tc>
        <w:tc>
          <w:tcPr>
            <w:tcW w:type="dxa" w:w="48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 conforme: se separa, se reclama al proveedor (devolución o reemplazo) y no se vende</w:t>
            </w:r>
          </w:p>
        </w:tc>
        <w:tc>
          <w:tcPr>
            <w:tcW w:type="dxa" w:w="32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 cumple su norma ni se puede mantener</w:t>
            </w:r>
          </w:p>
        </w:tc>
      </w:tr>
    </w:tbl>
    <w:p>
      <w:pPr>
        <w:spacing w:after="120"/>
      </w:pPr>
    </w:p>
    <w:p>
      <w:pPr>
        <w:spacing w:after="100" w:before="0" w:line="276"/>
      </w:pPr>
      <w:r>
        <w:rPr>
          <w:rFonts w:ascii="Arial" w:cs="Arial" w:eastAsia="Arial" w:hAnsi="Arial"/>
          <w:color w:val="000000"/>
          <w:sz w:val="19"/>
          <w:szCs w:val="19"/>
        </w:rPr>
        <w:t xml:space="preserve">Si la etiqueta FLAMA se pierde (repintado), el recargador busca por fabricante + n° + año grabados y reimprime. </w:t>
      </w:r>
      <w:r>
        <w:rPr>
          <w:rFonts w:ascii="Arial" w:cs="Arial" w:eastAsia="Arial" w:hAnsi="Arial"/>
          <w:b/>
          <w:bCs/>
          <w:color w:val="000000"/>
          <w:sz w:val="19"/>
          <w:szCs w:val="19"/>
        </w:rPr>
        <w:t xml:space="preserve">Opción a negociar</w:t>
      </w:r>
      <w:r>
        <w:rPr>
          <w:rFonts w:ascii="Arial" w:cs="Arial" w:eastAsia="Arial" w:hAnsi="Arial"/>
          <w:color w:val="000000"/>
          <w:sz w:val="19"/>
          <w:szCs w:val="19"/>
        </w:rPr>
        <w:t xml:space="preserve"> (</w:t>
      </w:r>
      <w:r>
        <w:rPr>
          <w:rFonts w:ascii="Arial" w:cs="Arial" w:eastAsia="Arial" w:hAnsi="Arial"/>
          <w:b/>
          <w:bCs/>
          <w:color w:val="000000"/>
          <w:sz w:val="19"/>
          <w:szCs w:val="19"/>
        </w:rPr>
        <w:t xml:space="preserve">criterio</w:t>
      </w:r>
      <w:r>
        <w:rPr>
          <w:rFonts w:ascii="Arial" w:cs="Arial" w:eastAsia="Arial" w:hAnsi="Arial"/>
          <w:color w:val="000000"/>
          <w:sz w:val="19"/>
          <w:szCs w:val="19"/>
        </w:rPr>
        <w:t xml:space="preserve">): que el fabricante grabe, además de su número, un DataMatrix con el ID FLAMA en su planta.</w:t>
      </w:r>
    </w:p>
    <w:p>
      <w:pPr>
        <w:pStyle w:val="Heading1"/>
        <w:keepNext/>
        <w:spacing w:after="120" w:before="240" w:line="276"/>
      </w:pPr>
      <w:r>
        <w:rPr>
          <w:rFonts w:ascii="Arial" w:cs="Arial" w:eastAsia="Arial" w:hAnsi="Arial"/>
          <w:color w:val="000000"/>
          <w:sz w:val="19"/>
          <w:szCs w:val="19"/>
        </w:rPr>
        <w:t xml:space="preserve">7. Herramientas, fases y pendientes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788"/>
        <w:gridCol w:w="2622"/>
        <w:gridCol w:w="3496"/>
      </w:tblGrid>
      <w:tr>
        <w:trPr>
          <w:cantSplit/>
          <w:tblHeader/>
        </w:trPr>
        <w:tc>
          <w:tcPr>
            <w:tcW w:type="dxa" w:w="378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Herramienta</w:t>
            </w:r>
          </w:p>
        </w:tc>
        <w:tc>
          <w:tcPr>
            <w:tcW w:type="dxa" w:w="262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Uso</w:t>
            </w:r>
          </w:p>
        </w:tc>
        <w:tc>
          <w:tcPr>
            <w:tcW w:type="dxa" w:w="349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Decisión</w:t>
            </w:r>
          </w:p>
        </w:tc>
      </w:tr>
      <w:tr>
        <w:trPr>
          <w:cantSplit/>
        </w:trPr>
        <w:tc>
          <w:tcPr>
            <w:tcW w:type="dxa" w:w="37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Micropercusión profunda (Pannier / DTMAQ)</w:t>
            </w:r>
          </w:p>
        </w:tc>
        <w:tc>
          <w:tcPr>
            <w:tcW w:type="dxa" w:w="262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grabado + DataMatrix</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bCs/>
                <w:color w:val="000000"/>
                <w:sz w:val="16"/>
                <w:szCs w:val="16"/>
              </w:rPr>
              <w:t xml:space="preserve">Base</w:t>
            </w:r>
            <w:r>
              <w:rPr>
                <w:rFonts w:ascii="Arial" w:cs="Arial" w:eastAsia="Arial" w:hAnsi="Arial"/>
                <w:b w:val="false"/>
                <w:bCs w:val="false"/>
                <w:color w:val="000000"/>
                <w:sz w:val="16"/>
                <w:szCs w:val="16"/>
              </w:rPr>
              <w:t xml:space="preserve">: ya están en planta</w:t>
            </w:r>
          </w:p>
        </w:tc>
      </w:tr>
      <w:tr>
        <w:trPr>
          <w:cantSplit/>
        </w:trPr>
        <w:tc>
          <w:tcPr>
            <w:tcW w:type="dxa" w:w="37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DataMatrix ECC 200 + QR en la etiqueta (GS1 Digital Link)</w:t>
            </w:r>
          </w:p>
        </w:tc>
        <w:tc>
          <w:tcPr>
            <w:tcW w:type="dxa" w:w="262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lectura automática y acceso del cliente</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Sí</w:t>
            </w:r>
          </w:p>
        </w:tc>
      </w:tr>
      <w:tr>
        <w:trPr>
          <w:cantSplit/>
        </w:trPr>
        <w:tc>
          <w:tcPr>
            <w:tcW w:type="dxa" w:w="37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GS1 EPCIS 2.0 + SSCC</w:t>
            </w:r>
          </w:p>
        </w:tc>
        <w:tc>
          <w:tcPr>
            <w:tcW w:type="dxa" w:w="262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eventos y agregación</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Sí (la estructura; no hace falta software GS1)</w:t>
            </w:r>
          </w:p>
        </w:tc>
      </w:tr>
      <w:tr>
        <w:trPr>
          <w:cantSplit/>
        </w:trPr>
        <w:tc>
          <w:tcPr>
            <w:tcW w:type="dxa" w:w="37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Cadena de hashes</w:t>
            </w:r>
          </w:p>
        </w:tc>
        <w:tc>
          <w:tcPr>
            <w:tcW w:type="dxa" w:w="262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integridad</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Sí</w:t>
            </w:r>
          </w:p>
        </w:tc>
      </w:tr>
      <w:tr>
        <w:trPr>
          <w:cantSplit/>
        </w:trPr>
        <w:tc>
          <w:tcPr>
            <w:tcW w:type="dxa" w:w="37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AppSheet sobre Sheets</w:t>
            </w:r>
          </w:p>
        </w:tc>
        <w:tc>
          <w:tcPr>
            <w:tcW w:type="dxa" w:w="262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estación de puesto</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Sí (fase 1)</w:t>
            </w:r>
          </w:p>
        </w:tc>
      </w:tr>
      <w:tr>
        <w:trPr>
          <w:cantSplit/>
        </w:trPr>
        <w:tc>
          <w:tcPr>
            <w:tcW w:type="dxa" w:w="37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YOLO + zxing-cpp / libdmtx + OCR</w:t>
            </w:r>
          </w:p>
        </w:tc>
        <w:tc>
          <w:tcPr>
            <w:tcW w:type="dxa" w:w="262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visión y lectura</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Fase 3</w:t>
            </w:r>
          </w:p>
        </w:tc>
      </w:tr>
      <w:tr>
        <w:trPr>
          <w:cantSplit/>
        </w:trPr>
        <w:tc>
          <w:tcPr>
            <w:tcW w:type="dxa" w:w="37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RFID / NFC para metal (</w:t>
            </w:r>
            <w:hyperlink w:history="1" r:id="rIdnvrrwv-rxibao1696xrtp">
              <w:r>
                <w:rPr>
                  <w:rFonts w:ascii="Arial" w:cs="Arial" w:eastAsia="Arial" w:hAnsi="Arial"/>
                  <w:color w:val="1F1F1F"/>
                  <w:sz w:val="16"/>
                  <w:szCs w:val="16"/>
                  <w:u w:val="single"/>
                </w:rPr>
                <w:t xml:space="preserve">ejemplo</w:t>
              </w:r>
            </w:hyperlink>
            <w:r>
              <w:rPr>
                <w:rFonts w:ascii="Arial" w:cs="Arial" w:eastAsia="Arial" w:hAnsi="Arial"/>
                <w:b w:val="false"/>
                <w:bCs w:val="false"/>
                <w:color w:val="000000"/>
                <w:sz w:val="16"/>
                <w:szCs w:val="16"/>
              </w:rPr>
              <w:t xml:space="preserve">)</w:t>
            </w:r>
          </w:p>
        </w:tc>
        <w:tc>
          <w:tcPr>
            <w:tcW w:type="dxa" w:w="262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lectura sin línea de vista</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 por ahora: se va con el repintado igual que la etiqueta</w:t>
            </w:r>
          </w:p>
        </w:tc>
      </w:tr>
      <w:tr>
        <w:trPr>
          <w:cantSplit/>
        </w:trPr>
        <w:tc>
          <w:tcPr>
            <w:tcW w:type="dxa" w:w="37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Tinta invisible UV</w:t>
            </w:r>
          </w:p>
        </w:tc>
        <w:tc>
          <w:tcPr>
            <w:tcW w:type="dxa" w:w="262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marca oculta</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 el granallado y el repintado la quitan o la tapan</w:t>
            </w:r>
          </w:p>
        </w:tc>
      </w:tr>
      <w:tr>
        <w:trPr>
          <w:cantSplit/>
        </w:trPr>
        <w:tc>
          <w:tcPr>
            <w:tcW w:type="dxa" w:w="37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App de mantenimiento con QR (</w:t>
            </w:r>
            <w:hyperlink w:history="1" r:id="rIdivqlpgqwohevpqkxpekil">
              <w:r>
                <w:rPr>
                  <w:rFonts w:ascii="Arial" w:cs="Arial" w:eastAsia="Arial" w:hAnsi="Arial"/>
                  <w:color w:val="1F1F1F"/>
                  <w:sz w:val="16"/>
                  <w:szCs w:val="16"/>
                  <w:u w:val="single"/>
                </w:rPr>
                <w:t xml:space="preserve">caso UMP</w:t>
              </w:r>
            </w:hyperlink>
            <w:r>
              <w:rPr>
                <w:rFonts w:ascii="Arial" w:cs="Arial" w:eastAsia="Arial" w:hAnsi="Arial"/>
                <w:b w:val="false"/>
                <w:bCs w:val="false"/>
                <w:color w:val="000000"/>
                <w:sz w:val="16"/>
                <w:szCs w:val="16"/>
              </w:rPr>
              <w:t xml:space="preserve">)</w:t>
            </w:r>
          </w:p>
        </w:tc>
        <w:tc>
          <w:tcPr>
            <w:tcW w:type="dxa" w:w="262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referencia de uso</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Referencia</w:t>
            </w:r>
          </w:p>
        </w:tc>
      </w:tr>
      <w:tr>
        <w:trPr>
          <w:cantSplit/>
        </w:trPr>
        <w:tc>
          <w:tcPr>
            <w:tcW w:type="dxa" w:w="37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Marcado láser (</w:t>
            </w:r>
            <w:hyperlink w:history="1" r:id="rId866puddnvcbk5bfyorzcb">
              <w:r>
                <w:rPr>
                  <w:rFonts w:ascii="Arial" w:cs="Arial" w:eastAsia="Arial" w:hAnsi="Arial"/>
                  <w:color w:val="1F1F1F"/>
                  <w:sz w:val="16"/>
                  <w:szCs w:val="16"/>
                  <w:u w:val="single"/>
                </w:rPr>
                <w:t xml:space="preserve">Keyence</w:t>
              </w:r>
            </w:hyperlink>
            <w:r>
              <w:rPr>
                <w:rFonts w:ascii="Arial" w:cs="Arial" w:eastAsia="Arial" w:hAnsi="Arial"/>
                <w:b w:val="false"/>
                <w:bCs w:val="false"/>
                <w:color w:val="000000"/>
                <w:sz w:val="16"/>
                <w:szCs w:val="16"/>
              </w:rPr>
              <w:t xml:space="preserve">)</w:t>
            </w:r>
          </w:p>
        </w:tc>
        <w:tc>
          <w:tcPr>
            <w:tcW w:type="dxa" w:w="262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alternativa al punzón</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 máquina nueva sin necesidad</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165"/>
        <w:gridCol w:w="8741"/>
      </w:tblGrid>
      <w:tr>
        <w:trPr>
          <w:cantSplit/>
          <w:tblHeader/>
        </w:trPr>
        <w:tc>
          <w:tcPr>
            <w:tcW w:type="dxa" w:w="116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Fase</w:t>
            </w:r>
          </w:p>
        </w:tc>
        <w:tc>
          <w:tcPr>
            <w:tcW w:type="dxa" w:w="874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entra</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w:t>
            </w:r>
          </w:p>
        </w:tc>
        <w:tc>
          <w:tcPr>
            <w:tcW w:type="dxa" w:w="874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Ensayo 1.6; confirmación con la DPS (1 kg y carros); confirmación de Pannier y DTMAQ (texto variable, ventana, DataMatrix)</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w:t>
            </w:r>
          </w:p>
        </w:tc>
        <w:tc>
          <w:tcPr>
            <w:tcW w:type="dxa" w:w="874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Serie, estados, compuertas, fichas por puesto, etiqueta con QR, faja abierta en BOM y planos</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w:t>
            </w:r>
          </w:p>
        </w:tc>
        <w:tc>
          <w:tcPr>
            <w:tcW w:type="dxa" w:w="874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Agregación SSCC, doble lectura en despacho y en la pintura tercerizada, portal QR, revendidos</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w:t>
            </w:r>
          </w:p>
        </w:tc>
        <w:tc>
          <w:tcPr>
            <w:tcW w:type="dxa" w:w="874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Visión YOLO, recargas con ficha rev. n+1, pareo de sustitutos, llamado a revisión</w:t>
            </w:r>
          </w:p>
        </w:tc>
      </w:tr>
    </w:tbl>
    <w:p>
      <w:pPr>
        <w:spacing w:after="120"/>
      </w:pPr>
    </w:p>
    <w:p>
      <w:pPr>
        <w:pStyle w:val="Heading2"/>
        <w:keepNext/>
        <w:spacing w:after="80" w:before="180" w:line="276"/>
      </w:pPr>
      <w:r>
        <w:rPr>
          <w:rFonts w:ascii="Arial" w:cs="Arial" w:eastAsia="Arial" w:hAnsi="Arial"/>
          <w:color w:val="000000"/>
          <w:sz w:val="19"/>
          <w:szCs w:val="19"/>
        </w:rPr>
        <w:t xml:space="preserve">Pendientes antes de tocar los planos</w:t>
      </w:r>
    </w:p>
    <w:p>
      <w:pPr>
        <w:pStyle w:val="ListParagraph"/>
        <w:numPr>
          <w:ilvl w:val="0"/>
          <w:numId w:val="2"/>
        </w:numPr>
        <w:spacing w:after="40" w:before="0" w:line="276"/>
      </w:pPr>
      <w:r>
        <w:rPr>
          <w:rFonts w:ascii="Arial" w:cs="Arial" w:eastAsia="Arial" w:hAnsi="Arial"/>
          <w:color w:val="000000"/>
          <w:sz w:val="19"/>
          <w:szCs w:val="19"/>
        </w:rPr>
        <w:t xml:space="preserve">Profundidades y programa por espesor (hoy criterio): ensayo 1.6.</w:t>
      </w:r>
    </w:p>
    <w:p>
      <w:pPr>
        <w:pStyle w:val="ListParagraph"/>
        <w:numPr>
          <w:ilvl w:val="0"/>
          <w:numId w:val="2"/>
        </w:numPr>
        <w:spacing w:after="40" w:before="0" w:line="276"/>
      </w:pPr>
      <w:r>
        <w:rPr>
          <w:rFonts w:ascii="Arial" w:cs="Arial" w:eastAsia="Arial" w:hAnsi="Arial"/>
          <w:color w:val="000000"/>
          <w:sz w:val="19"/>
          <w:szCs w:val="19"/>
        </w:rPr>
        <w:t xml:space="preserve">Pannier: ingreso de texto variable desde PC y orientación de la franja en la ventana de 120 × 160 mm.</w:t>
      </w:r>
    </w:p>
    <w:p>
      <w:pPr>
        <w:pStyle w:val="ListParagraph"/>
        <w:numPr>
          <w:ilvl w:val="0"/>
          <w:numId w:val="2"/>
        </w:numPr>
        <w:spacing w:after="40" w:before="0" w:line="276"/>
      </w:pPr>
      <w:r>
        <w:rPr>
          <w:rFonts w:ascii="Arial" w:cs="Arial" w:eastAsia="Arial" w:hAnsi="Arial"/>
          <w:color w:val="000000"/>
          <w:sz w:val="19"/>
          <w:szCs w:val="19"/>
        </w:rPr>
        <w:t xml:space="preserve">DTMAQ MPE 150130: DataMatrix, texto variable y tamaño de la ventana.</w:t>
      </w:r>
    </w:p>
    <w:p>
      <w:pPr>
        <w:pStyle w:val="ListParagraph"/>
        <w:numPr>
          <w:ilvl w:val="0"/>
          <w:numId w:val="2"/>
        </w:numPr>
        <w:spacing w:after="40" w:before="0" w:line="276"/>
      </w:pPr>
      <w:r>
        <w:rPr>
          <w:rFonts w:ascii="Arial" w:cs="Arial" w:eastAsia="Arial" w:hAnsi="Arial"/>
          <w:color w:val="000000"/>
          <w:sz w:val="19"/>
          <w:szCs w:val="19"/>
        </w:rPr>
        <w:t xml:space="preserve">DPS: cuño en el cuerpo bajo para 1 kg y carros.</w:t>
      </w:r>
    </w:p>
    <w:p>
      <w:pPr>
        <w:pStyle w:val="ListParagraph"/>
        <w:numPr>
          <w:ilvl w:val="0"/>
          <w:numId w:val="2"/>
        </w:numPr>
        <w:spacing w:after="40" w:before="0" w:line="276"/>
      </w:pPr>
      <w:r>
        <w:rPr>
          <w:rFonts w:ascii="Arial" w:cs="Arial" w:eastAsia="Arial" w:hAnsi="Arial"/>
          <w:color w:val="000000"/>
          <w:sz w:val="19"/>
          <w:szCs w:val="19"/>
        </w:rPr>
        <w:t xml:space="preserve">GTIN (alta en GS1 Argentina) o solo número de serie.</w:t>
      </w:r>
    </w:p>
    <w:p>
      <w:pPr>
        <w:pStyle w:val="ListParagraph"/>
        <w:numPr>
          <w:ilvl w:val="0"/>
          <w:numId w:val="2"/>
        </w:numPr>
        <w:spacing w:after="40" w:before="0" w:line="276"/>
      </w:pPr>
      <w:r>
        <w:rPr>
          <w:rFonts w:ascii="Arial" w:cs="Arial" w:eastAsia="Arial" w:hAnsi="Arial"/>
          <w:color w:val="000000"/>
          <w:sz w:val="19"/>
          <w:szCs w:val="19"/>
        </w:rPr>
        <w:t xml:space="preserve">Cláusulas de marcado de IRAM 3527, 3541, 3694 y 3504 (PDF sin texto).</w:t>
      </w:r>
    </w:p>
    <w:p>
      <w:pPr>
        <w:pStyle w:val="ListParagraph"/>
        <w:numPr>
          <w:ilvl w:val="0"/>
          <w:numId w:val="2"/>
        </w:numPr>
        <w:spacing w:after="40" w:before="0" w:line="276"/>
      </w:pPr>
      <w:r>
        <w:rPr>
          <w:rFonts w:ascii="Arial" w:cs="Arial" w:eastAsia="Arial" w:hAnsi="Arial"/>
          <w:color w:val="000000"/>
          <w:sz w:val="19"/>
          <w:szCs w:val="19"/>
        </w:rPr>
        <w:t xml:space="preserve">Umbrales vigentes del COT de ARBA.</w:t>
      </w:r>
    </w:p>
    <w:p>
      <w:pPr>
        <w:spacing w:after="100" w:before="0" w:line="276"/>
      </w:pPr>
      <w:r>
        <w:rPr>
          <w:rFonts w:ascii="Arial" w:cs="Arial" w:eastAsia="Arial" w:hAnsi="Arial"/>
          <w:color w:val="000000"/>
          <w:sz w:val="19"/>
          <w:szCs w:val="19"/>
        </w:rPr>
        <w:t xml:space="preserve">Después: en los planos se pasa el marcado de la cúpula a la franja de cada modelo, la faja de sustituto y reserva a la versión abierta (con 21 mm en el 2,5 kg), y la Pannier del puesto 6 a la salida de G2.</w:t>
      </w:r>
    </w:p>
    <w:p>
      <w:pPr>
        <w:pStyle w:val="Heading1"/>
        <w:keepNext/>
        <w:spacing w:after="120" w:before="240" w:line="276"/>
      </w:pPr>
      <w:r>
        <w:rPr>
          <w:rFonts w:ascii="Arial" w:cs="Arial" w:eastAsia="Arial" w:hAnsi="Arial"/>
          <w:color w:val="000000"/>
          <w:sz w:val="19"/>
          <w:szCs w:val="19"/>
        </w:rPr>
        <w:t xml:space="preserve">Fuentes</w:t>
      </w:r>
    </w:p>
    <w:p>
      <w:pPr>
        <w:pStyle w:val="ListParagraph"/>
        <w:numPr>
          <w:ilvl w:val="0"/>
          <w:numId w:val="2"/>
        </w:numPr>
        <w:spacing w:after="40" w:before="0" w:line="276"/>
      </w:pPr>
      <w:hyperlink w:history="1" r:id="rIdza2mhobznch8mnzewn_tn">
        <w:r>
          <w:rPr>
            <w:rFonts w:ascii="Arial" w:cs="Arial" w:eastAsia="Arial" w:hAnsi="Arial"/>
            <w:color w:val="1F1F1F"/>
            <w:sz w:val="19"/>
            <w:szCs w:val="19"/>
            <w:u w:val="single"/>
          </w:rPr>
          <w:t xml:space="preserve">Pannier ADP120160D Deep Marker</w:t>
        </w:r>
      </w:hyperlink>
    </w:p>
    <w:p>
      <w:pPr>
        <w:pStyle w:val="ListParagraph"/>
        <w:numPr>
          <w:ilvl w:val="0"/>
          <w:numId w:val="2"/>
        </w:numPr>
        <w:spacing w:after="40" w:before="0" w:line="276"/>
      </w:pPr>
      <w:hyperlink w:history="1" r:id="rIdu2irwaxp20jgbym6ducy2">
        <w:r>
          <w:rPr>
            <w:rFonts w:ascii="Arial" w:cs="Arial" w:eastAsia="Arial" w:hAnsi="Arial"/>
            <w:color w:val="1F1F1F"/>
            <w:sz w:val="19"/>
            <w:szCs w:val="19"/>
            <w:u w:val="single"/>
          </w:rPr>
          <w:t xml:space="preserve">The Fabricator: micropercusión legible tras recubrimiento</w:t>
        </w:r>
      </w:hyperlink>
    </w:p>
    <w:p>
      <w:pPr>
        <w:pStyle w:val="ListParagraph"/>
        <w:numPr>
          <w:ilvl w:val="0"/>
          <w:numId w:val="2"/>
        </w:numPr>
        <w:spacing w:after="40" w:before="0" w:line="276"/>
      </w:pPr>
      <w:hyperlink w:history="1" r:id="rIdg3nk8dqqvyzl3gpspf_hr">
        <w:r>
          <w:rPr>
            <w:rFonts w:ascii="Arial" w:cs="Arial" w:eastAsia="Arial" w:hAnsi="Arial"/>
            <w:color w:val="1F1F1F"/>
            <w:sz w:val="19"/>
            <w:szCs w:val="19"/>
            <w:u w:val="single"/>
          </w:rPr>
          <w:t xml:space="preserve">Protocase: dot peening</w:t>
        </w:r>
      </w:hyperlink>
    </w:p>
    <w:p>
      <w:pPr>
        <w:pStyle w:val="ListParagraph"/>
        <w:numPr>
          <w:ilvl w:val="0"/>
          <w:numId w:val="2"/>
        </w:numPr>
        <w:spacing w:after="40" w:before="0" w:line="276"/>
      </w:pPr>
      <w:hyperlink w:history="1" r:id="rIdwdsdt5mqkccc9hqtizg5j">
        <w:r>
          <w:rPr>
            <w:rFonts w:ascii="Arial" w:cs="Arial" w:eastAsia="Arial" w:hAnsi="Arial"/>
            <w:color w:val="1F1F1F"/>
            <w:sz w:val="19"/>
            <w:szCs w:val="19"/>
            <w:u w:val="single"/>
          </w:rPr>
          <w:t xml:space="preserve">Keyence: marcado láser resistente al granallado</w:t>
        </w:r>
      </w:hyperlink>
    </w:p>
    <w:p>
      <w:pPr>
        <w:pStyle w:val="ListParagraph"/>
        <w:numPr>
          <w:ilvl w:val="0"/>
          <w:numId w:val="2"/>
        </w:numPr>
        <w:spacing w:after="40" w:before="0" w:line="276"/>
      </w:pPr>
      <w:hyperlink w:history="1" r:id="rId7yh9msdqkci15wdmnaysp">
        <w:r>
          <w:rPr>
            <w:rFonts w:ascii="Arial" w:cs="Arial" w:eastAsia="Arial" w:hAnsi="Arial"/>
            <w:color w:val="1F1F1F"/>
            <w:sz w:val="19"/>
            <w:szCs w:val="19"/>
            <w:u w:val="single"/>
          </w:rPr>
          <w:t xml:space="preserve">GS1 EPCIS</w:t>
        </w:r>
      </w:hyperlink>
    </w:p>
    <w:p>
      <w:pPr>
        <w:pStyle w:val="ListParagraph"/>
        <w:numPr>
          <w:ilvl w:val="0"/>
          <w:numId w:val="2"/>
        </w:numPr>
        <w:spacing w:after="40" w:before="0" w:line="276"/>
      </w:pPr>
      <w:hyperlink w:history="1" r:id="rIdhwhciilepy0n0mrsnj0va">
        <w:r>
          <w:rPr>
            <w:rFonts w:ascii="Arial" w:cs="Arial" w:eastAsia="Arial" w:hAnsi="Arial"/>
            <w:color w:val="1F1F1F"/>
            <w:sz w:val="19"/>
            <w:szCs w:val="19"/>
            <w:u w:val="single"/>
          </w:rPr>
          <w:t xml:space="preserve">GS1 EPCIS 2.0</w:t>
        </w:r>
      </w:hyperlink>
    </w:p>
    <w:p>
      <w:pPr>
        <w:pStyle w:val="ListParagraph"/>
        <w:numPr>
          <w:ilvl w:val="0"/>
          <w:numId w:val="2"/>
        </w:numPr>
        <w:spacing w:after="40" w:before="0" w:line="276"/>
      </w:pPr>
      <w:hyperlink w:history="1" r:id="rIdfqxvfejas96ljqzfz0bkg">
        <w:r>
          <w:rPr>
            <w:rFonts w:ascii="Arial" w:cs="Arial" w:eastAsia="Arial" w:hAnsi="Arial"/>
            <w:color w:val="1F1F1F"/>
            <w:sz w:val="19"/>
            <w:szCs w:val="19"/>
            <w:u w:val="single"/>
          </w:rPr>
          <w:t xml:space="preserve">zxing-cpp</w:t>
        </w:r>
      </w:hyperlink>
    </w:p>
    <w:p>
      <w:pPr>
        <w:pStyle w:val="ListParagraph"/>
        <w:numPr>
          <w:ilvl w:val="0"/>
          <w:numId w:val="2"/>
        </w:numPr>
        <w:spacing w:after="40" w:before="0" w:line="276"/>
      </w:pPr>
      <w:hyperlink w:history="1" r:id="rIde6nq1hsg7ogbmv1zu1ruv">
        <w:r>
          <w:rPr>
            <w:rFonts w:ascii="Arial" w:cs="Arial" w:eastAsia="Arial" w:hAnsi="Arial"/>
            <w:color w:val="1F1F1F"/>
            <w:sz w:val="19"/>
            <w:szCs w:val="19"/>
            <w:u w:val="single"/>
          </w:rPr>
          <w:t xml:space="preserve">libdmtx</w:t>
        </w:r>
      </w:hyperlink>
    </w:p>
    <w:p>
      <w:pPr>
        <w:pStyle w:val="ListParagraph"/>
        <w:numPr>
          <w:ilvl w:val="0"/>
          <w:numId w:val="2"/>
        </w:numPr>
        <w:spacing w:after="40" w:before="0" w:line="276"/>
      </w:pPr>
      <w:hyperlink w:history="1" r:id="rIdxqz_8wbjdqcyc1v1jm7ah">
        <w:r>
          <w:rPr>
            <w:rFonts w:ascii="Arial" w:cs="Arial" w:eastAsia="Arial" w:hAnsi="Arial"/>
            <w:color w:val="1F1F1F"/>
            <w:sz w:val="19"/>
            <w:szCs w:val="19"/>
            <w:u w:val="single"/>
          </w:rPr>
          <w:t xml:space="preserve">Detección de defectos de soldadura con YOLO</w:t>
        </w:r>
      </w:hyperlink>
    </w:p>
    <w:p>
      <w:pPr>
        <w:pStyle w:val="ListParagraph"/>
        <w:numPr>
          <w:ilvl w:val="0"/>
          <w:numId w:val="2"/>
        </w:numPr>
        <w:spacing w:after="40" w:before="0" w:line="276"/>
      </w:pPr>
      <w:hyperlink w:history="1" r:id="rIdqhr-wjekscaqdj6xupvbh">
        <w:r>
          <w:rPr>
            <w:rFonts w:ascii="Arial" w:cs="Arial" w:eastAsia="Arial" w:hAnsi="Arial"/>
            <w:color w:val="1F1F1F"/>
            <w:sz w:val="19"/>
            <w:szCs w:val="19"/>
            <w:u w:val="single"/>
          </w:rPr>
          <w:t xml:space="preserve">Defectos de soldadura con YOLOv3</w:t>
        </w:r>
      </w:hyperlink>
    </w:p>
    <w:p>
      <w:pPr>
        <w:pStyle w:val="ListParagraph"/>
        <w:numPr>
          <w:ilvl w:val="0"/>
          <w:numId w:val="2"/>
        </w:numPr>
        <w:spacing w:after="40" w:before="0" w:line="276"/>
      </w:pPr>
      <w:hyperlink w:history="1" r:id="rId4odmgl5snw-odnqin7srn">
        <w:r>
          <w:rPr>
            <w:rFonts w:ascii="Arial" w:cs="Arial" w:eastAsia="Arial" w:hAnsi="Arial"/>
            <w:color w:val="1F1F1F"/>
            <w:sz w:val="19"/>
            <w:szCs w:val="19"/>
            <w:u w:val="single"/>
          </w:rPr>
          <w:t xml:space="preserve">CCyCN art. 1298 a 1300</w:t>
        </w:r>
      </w:hyperlink>
    </w:p>
    <w:p>
      <w:pPr>
        <w:pStyle w:val="ListParagraph"/>
        <w:numPr>
          <w:ilvl w:val="0"/>
          <w:numId w:val="2"/>
        </w:numPr>
        <w:spacing w:after="40" w:before="0" w:line="276"/>
      </w:pPr>
      <w:hyperlink w:history="1" r:id="rIdhrfw_5eiyddhf7vknjqi5">
        <w:r>
          <w:rPr>
            <w:rFonts w:ascii="Arial" w:cs="Arial" w:eastAsia="Arial" w:hAnsi="Arial"/>
            <w:color w:val="1F1F1F"/>
            <w:sz w:val="19"/>
            <w:szCs w:val="19"/>
            <w:u w:val="single"/>
          </w:rPr>
          <w:t xml:space="preserve">ARBA: COT</w:t>
        </w:r>
      </w:hyperlink>
    </w:p>
    <w:p>
      <w:pPr>
        <w:pStyle w:val="ListParagraph"/>
        <w:numPr>
          <w:ilvl w:val="0"/>
          <w:numId w:val="2"/>
        </w:numPr>
        <w:spacing w:after="40" w:before="0" w:line="276"/>
      </w:pPr>
      <w:hyperlink w:history="1" r:id="rIdxul5mk2loz-6_nsiy7tkz">
        <w:r>
          <w:rPr>
            <w:rFonts w:ascii="Arial" w:cs="Arial" w:eastAsia="Arial" w:hAnsi="Arial"/>
            <w:color w:val="1F1F1F"/>
            <w:sz w:val="19"/>
            <w:szCs w:val="19"/>
            <w:u w:val="single"/>
          </w:rPr>
          <w:t xml:space="preserve">Seguro de incendio</w:t>
        </w:r>
      </w:hyperlink>
    </w:p>
    <w:p>
      <w:pPr>
        <w:pStyle w:val="ListParagraph"/>
        <w:numPr>
          <w:ilvl w:val="0"/>
          <w:numId w:val="2"/>
        </w:numPr>
        <w:spacing w:after="40" w:before="0" w:line="276"/>
      </w:pPr>
      <w:hyperlink w:history="1" r:id="rIdo4qmjuitukarrkpsdmuqj">
        <w:r>
          <w:rPr>
            <w:rFonts w:ascii="Arial" w:cs="Arial" w:eastAsia="Arial" w:hAnsi="Arial"/>
            <w:color w:val="1F1F1F"/>
            <w:sz w:val="19"/>
            <w:szCs w:val="19"/>
            <w:u w:val="single"/>
          </w:rPr>
          <w:t xml:space="preserve">Etiqueta RFID para metal</w:t>
        </w:r>
      </w:hyperlink>
    </w:p>
    <w:p>
      <w:pPr>
        <w:pStyle w:val="ListParagraph"/>
        <w:numPr>
          <w:ilvl w:val="0"/>
          <w:numId w:val="2"/>
        </w:numPr>
        <w:spacing w:after="40" w:before="0" w:line="276"/>
      </w:pPr>
      <w:hyperlink w:history="1" r:id="rIdp93alhs3vjxtqtdexkwsh">
        <w:r>
          <w:rPr>
            <w:rFonts w:ascii="Arial" w:cs="Arial" w:eastAsia="Arial" w:hAnsi="Arial"/>
            <w:color w:val="1F1F1F"/>
            <w:sz w:val="19"/>
            <w:szCs w:val="19"/>
            <w:u w:val="single"/>
          </w:rPr>
          <w:t xml:space="preserve">UMP: app de mantenimiento de matafuegos</w:t>
        </w:r>
      </w:hyperlink>
    </w:p>
    <w:p>
      <w:pPr>
        <w:pStyle w:val="ListParagraph"/>
        <w:numPr>
          <w:ilvl w:val="0"/>
          <w:numId w:val="2"/>
        </w:numPr>
        <w:spacing w:after="40" w:before="0" w:line="276"/>
      </w:pPr>
      <w:r>
        <w:rPr>
          <w:rFonts w:ascii="Arial" w:cs="Arial" w:eastAsia="Arial" w:hAnsi="Arial"/>
          <w:color w:val="000000"/>
          <w:sz w:val="19"/>
          <w:szCs w:val="19"/>
        </w:rPr>
        <w:t xml:space="preserve">IRAM 3523 5.1 y 5.2.4 · IRAM 3525 5.1 · IRAM 3550 5.1, 5.2.4 y 6.1.1 · IRAM 2533 · IRAM 3517-2:2020 (5.3, 9.2, 9.4.5, 9.4.6, 9.4.10, 9.4.13 a 9.4.16, 9.6, 9.7, 9.8.2, 9.9, 9.10, 9.11, 9.12, tabla 3, anexos E, F y G) · Res. 349/07 PBA (art. 25, 28, 29, 32 y anexo IV). Se citan, no se transcriben.</w:t>
      </w:r>
    </w:p>
    <w:p>
      <w:pPr>
        <w:pStyle w:val="ListParagraph"/>
        <w:numPr>
          <w:ilvl w:val="0"/>
          <w:numId w:val="2"/>
        </w:numPr>
        <w:spacing w:after="40" w:before="0" w:line="276"/>
      </w:pPr>
      <w:r>
        <w:rPr>
          <w:rFonts w:ascii="Arial" w:cs="Arial" w:eastAsia="Arial" w:hAnsi="Arial"/>
          <w:color w:val="000000"/>
          <w:sz w:val="19"/>
          <w:szCs w:val="19"/>
        </w:rPr>
        <w:t xml:space="preserve">Documentos FLAMA: DOC-01 Tratamiento superficial y pintura; DOC-02 Ensayos de fabricación ABC; planos FL_MAT, FL_SUS y modelo 3D (cuerpos.json); planilla de MP (pintura).</w:t>
      </w:r>
    </w:p>
    <w:sectPr>
      <w:footerReference w:type="default" r:id="rId6"/>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95959"/>
        <w:sz w:val="15"/>
        <w:szCs w:val="15"/>
      </w:rPr>
      <w:t xml:space="preserve">Sistema de trazabilidad FLAMA · </w:t>
    </w:r>
    <w:r>
      <w:rPr>
        <w:rFonts w:ascii="Arial" w:cs="Arial" w:eastAsia="Arial" w:hAnsi="Arial"/>
        <w:color w:val="59595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6" w:space="2"/>
      </w:pBdr>
      <w:outlineLvl w:val="0"/>
    </w:pPr>
    <w:rPr>
      <w:rFonts w:ascii="Arial" w:cs="Arial" w:eastAsia="Arial" w:hAnsi="Arial"/>
      <w:b/>
      <w:bCs/>
      <w:color w:val="000000"/>
      <w:sz w:val="28"/>
      <w:szCs w:val="28"/>
    </w:rPr>
  </w:style>
  <w:style w:type="paragraph" w:styleId="Heading2">
    <w:name w:val="Heading 2"/>
    <w:basedOn w:val="Normal"/>
    <w:next w:val="Normal"/>
    <w:qFormat/>
    <w:pPr>
      <w:outlineLvl w:val="1"/>
    </w:pPr>
    <w:rPr>
      <w:rFonts w:ascii="Arial" w:cs="Arial" w:eastAsia="Arial" w:hAnsi="Arial"/>
      <w:b/>
      <w:bCs/>
      <w:color w:val="000000"/>
      <w:sz w:val="23"/>
      <w:szCs w:val="23"/>
    </w:rPr>
  </w:style>
  <w:style w:type="paragraph" w:styleId="Heading3">
    <w:name w:val="Heading 3"/>
    <w:basedOn w:val="Normal"/>
    <w:next w:val="Normal"/>
    <w:qFormat/>
    <w:pPr>
      <w:outlineLvl w:val="2"/>
    </w:pPr>
    <w:rPr>
      <w:rFonts w:ascii="Arial" w:cs="Arial" w:eastAsia="Arial" w:hAnsi="Arial"/>
      <w:b/>
      <w:bCs/>
      <w:color w:val="595959"/>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5mprdesvphapiiditmezz" Type="http://schemas.openxmlformats.org/officeDocument/2006/relationships/hyperlink" Target="https://www.directindustry.com/prod/pannier/product-24420-679289.html" TargetMode="External"/><Relationship Id="rIdxwmm2owyeqk6ckmcpztqh" Type="http://schemas.openxmlformats.org/officeDocument/2006/relationships/hyperlink" Target="https://www.thefabricator.com/thefabricator/product/shopmanagement/dot-peen-system-makes-marks-that-are-readable-after-coating" TargetMode="External"/><Relationship Id="rIddqnd1hypj8ulog37pqa3v" Type="http://schemas.openxmlformats.org/officeDocument/2006/relationships/hyperlink" Target="https://www.protocase.com/products/graphics-markings/dot-peening/" TargetMode="External"/><Relationship Id="rIdmsv1hfm9gofbcjpyzrmvx" Type="http://schemas.openxmlformats.org/officeDocument/2006/relationships/hyperlink" Target="https://github.com/zxing-cpp/zxing-cpp/" TargetMode="External"/><Relationship Id="rIdrpyspzjnseouppdxk_fba" Type="http://schemas.openxmlformats.org/officeDocument/2006/relationships/hyperlink" Target="https://desk.ximea.com/kb/articles/pdf/libdmtx" TargetMode="External"/><Relationship Id="rIdh_1dr3ibqalvclrxdcv0n" Type="http://schemas.openxmlformats.org/officeDocument/2006/relationships/hyperlink" Target="https://engrxiv.org/preprint/view/6685" TargetMode="External"/><Relationship Id="rId0u_k8lohhfcunmyurp8gm" Type="http://schemas.openxmlformats.org/officeDocument/2006/relationships/hyperlink" Target="https://hal.archives-ouvertes.fr/hal-03837669" TargetMode="External"/><Relationship Id="rIdrn7oblsmszwbuypzl7lpb" Type="http://schemas.openxmlformats.org/officeDocument/2006/relationships/hyperlink" Target="https://www.gs1.org/epcis" TargetMode="External"/><Relationship Id="rId1ko6bizjdq7cciskodxyv" Type="http://schemas.openxmlformats.org/officeDocument/2006/relationships/hyperlink" Target="https://GS1.org/docs/epcis/epcis_2-0_launch.pdf" TargetMode="External"/><Relationship Id="rIdkmt1uchezkwdtfl1rei0d" Type="http://schemas.openxmlformats.org/officeDocument/2006/relationships/hyperlink" Target="https://www.conceptosjuridicos.com/ar/articulos/codigo-civil-y-comercial-articulo-1298/" TargetMode="External"/><Relationship Id="rIdqlk5ydxbgv7jmry_95a_k" Type="http://schemas.openxmlformats.org/officeDocument/2006/relationships/hyperlink" Target="https://web.arba.gov.ar/sites/default/files/2024-02/COT%20C%C3%B3digo%20de%20Operaci%C3%B3n%20Traslado%20o%20Transporteggti.pdf" TargetMode="External"/><Relationship Id="rIdzfxhp2hrxcnkgyzhs-wcy" Type="http://schemas.openxmlformats.org/officeDocument/2006/relationships/hyperlink" Target="https://economis.com.ar/?p=438705" TargetMode="External"/><Relationship Id="rIdnvrrwv-rxibao1696xrtp" Type="http://schemas.openxmlformats.org/officeDocument/2006/relationships/hyperlink" Target="https://www.rfidtagworld.com/products/On-Metal-Tag/On-Metal-Tag_1548.html" TargetMode="External"/><Relationship Id="rIdivqlpgqwohevpqkxpekil" Type="http://schemas.openxmlformats.org/officeDocument/2006/relationships/hyperlink" Target="https://news.ump.edu.my/research/ts-dr-wan-isni-sofiah-develops-mobile-application-streamline-fire-extinguisher-maintenance" TargetMode="External"/><Relationship Id="rId866puddnvcbk5bfyorzcb" Type="http://schemas.openxmlformats.org/officeDocument/2006/relationships/hyperlink" Target="https://www.keyence.com/products/marker/laser-marker/resources/laser-marking-resources/shot-blast-resistant-laser-marking.jsp" TargetMode="External"/><Relationship Id="rIdza2mhobznch8mnzewn_tn" Type="http://schemas.openxmlformats.org/officeDocument/2006/relationships/hyperlink" Target="https://www.directindustry.com/prod/pannier/product-24420-679289.html" TargetMode="External"/><Relationship Id="rIdu2irwaxp20jgbym6ducy2" Type="http://schemas.openxmlformats.org/officeDocument/2006/relationships/hyperlink" Target="https://www.thefabricator.com/thefabricator/product/shopmanagement/dot-peen-system-makes-marks-that-are-readable-after-coating" TargetMode="External"/><Relationship Id="rIdg3nk8dqqvyzl3gpspf_hr" Type="http://schemas.openxmlformats.org/officeDocument/2006/relationships/hyperlink" Target="https://www.protocase.com/products/graphics-markings/dot-peening/" TargetMode="External"/><Relationship Id="rIdwdsdt5mqkccc9hqtizg5j" Type="http://schemas.openxmlformats.org/officeDocument/2006/relationships/hyperlink" Target="https://www.keyence.com/products/marker/laser-marker/resources/laser-marking-resources/shot-blast-resistant-laser-marking.jsp" TargetMode="External"/><Relationship Id="rId7yh9msdqkci15wdmnaysp" Type="http://schemas.openxmlformats.org/officeDocument/2006/relationships/hyperlink" Target="https://www.gs1.org/epcis" TargetMode="External"/><Relationship Id="rIdhwhciilepy0n0mrsnj0va" Type="http://schemas.openxmlformats.org/officeDocument/2006/relationships/hyperlink" Target="https://GS1.org/docs/epcis/epcis_2-0_launch.pdf" TargetMode="External"/><Relationship Id="rIdfqxvfejas96ljqzfz0bkg" Type="http://schemas.openxmlformats.org/officeDocument/2006/relationships/hyperlink" Target="https://github.com/zxing-cpp/zxing-cpp/" TargetMode="External"/><Relationship Id="rIde6nq1hsg7ogbmv1zu1ruv" Type="http://schemas.openxmlformats.org/officeDocument/2006/relationships/hyperlink" Target="https://desk.ximea.com/kb/articles/pdf/libdmtx" TargetMode="External"/><Relationship Id="rIdxqz_8wbjdqcyc1v1jm7ah" Type="http://schemas.openxmlformats.org/officeDocument/2006/relationships/hyperlink" Target="https://engrxiv.org/preprint/view/6685" TargetMode="External"/><Relationship Id="rIdqhr-wjekscaqdj6xupvbh" Type="http://schemas.openxmlformats.org/officeDocument/2006/relationships/hyperlink" Target="https://hal.archives-ouvertes.fr/hal-03837669" TargetMode="External"/><Relationship Id="rId4odmgl5snw-odnqin7srn" Type="http://schemas.openxmlformats.org/officeDocument/2006/relationships/hyperlink" Target="https://www.conceptosjuridicos.com/ar/articulos/codigo-civil-y-comercial-articulo-1298/" TargetMode="External"/><Relationship Id="rIdhrfw_5eiyddhf7vknjqi5" Type="http://schemas.openxmlformats.org/officeDocument/2006/relationships/hyperlink" Target="https://web.arba.gov.ar/sites/default/files/2024-02/COT%20C%C3%B3digo%20de%20Operaci%C3%B3n%20Traslado%20o%20Transporteggti.pdf" TargetMode="External"/><Relationship Id="rIdxul5mk2loz-6_nsiy7tkz" Type="http://schemas.openxmlformats.org/officeDocument/2006/relationships/hyperlink" Target="https://economis.com.ar/?p=438705" TargetMode="External"/><Relationship Id="rIdo4qmjuitukarrkpsdmuqj" Type="http://schemas.openxmlformats.org/officeDocument/2006/relationships/hyperlink" Target="https://www.rfidtagworld.com/products/On-Metal-Tag/On-Metal-Tag_1548.html" TargetMode="External"/><Relationship Id="rIdp93alhs3vjxtqtdexkwsh" Type="http://schemas.openxmlformats.org/officeDocument/2006/relationships/hyperlink" Target="https://news.ump.edu.my/research/ts-dr-wan-isni-sofiah-develops-mobile-application-streamline-fire-extinguisher-maintenance" TargetMode="External"/><Relationship Id="rId38" Type="http://schemas.openxmlformats.org/officeDocument/2006/relationships/image" Target="media/6ce02e6efe8d6c8077404974e7f5e99d67f526b5.png"/><Relationship Id="rId39" Type="http://schemas.openxmlformats.org/officeDocument/2006/relationships/image" Target="media/0494a2ecbe8a0b5e89b0f128c9d447eeae819a63.png"/><Relationship Id="rId40" Type="http://schemas.openxmlformats.org/officeDocument/2006/relationships/image" Target="media/11ba4621aa0697a6a93631573e9fe3762f77c698.png"/><Relationship Id="rId41" Type="http://schemas.openxmlformats.org/officeDocument/2006/relationships/image" Target="media/cb65f729c1c738c386c3b04583fe17c85223b9f5.png"/><Relationship Id="rId42" Type="http://schemas.openxmlformats.org/officeDocument/2006/relationships/image" Target="media/416a5e3f5656993af71caa0c653064e7267ab620.png"/><Relationship Id="rId43" Type="http://schemas.openxmlformats.org/officeDocument/2006/relationships/image" Target="media/70edbeb210a1919d1ab2ccc935f834b12a5db04f.png"/><Relationship Id="rId44" Type="http://schemas.openxmlformats.org/officeDocument/2006/relationships/image" Target="media/427c89ad9026b1e5503d039859be2ee6b68d821e.png"/><Relationship Id="rId45" Type="http://schemas.openxmlformats.org/officeDocument/2006/relationships/image" Target="media/a6c0c857da06dd60f217d963d8f14193a5c446a7.png"/><Relationship Id="rId46" Type="http://schemas.openxmlformats.org/officeDocument/2006/relationships/image" Target="media/8d60170ef52936683026bc302c8001985ad5b3e6.png"/><Relationship Id="rId47" Type="http://schemas.openxmlformats.org/officeDocument/2006/relationships/image" Target="media/1c0e659342a0c3aac432dad96f840324082c9d5e.png"/><Relationship Id="rId48" Type="http://schemas.openxmlformats.org/officeDocument/2006/relationships/image" Target="media/bbc523fffaf1a861a76add1bac50f012e0d38c5f.png"/><Relationship Id="rId49" Type="http://schemas.openxmlformats.org/officeDocument/2006/relationships/image" Target="media/49c8603d0d19fe148cce2e4f95ac9fb4575c4111.png"/><Relationship Id="rId50" Type="http://schemas.openxmlformats.org/officeDocument/2006/relationships/image" Target="media/13d039bcc6244c2afd506a7f9d06071329f821a5.png"/><Relationship Id="rId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trazabilidad FLAMA</dc:title>
  <dc:creator>FLAMA</dc:creator>
  <cp:lastModifiedBy>Un-named</cp:lastModifiedBy>
  <cp:revision>1</cp:revision>
  <dcterms:created xsi:type="dcterms:W3CDTF">2026-10-23T03:46:52.460Z</dcterms:created>
  <dcterms:modified xsi:type="dcterms:W3CDTF">2026-10-23T03:46:52.475Z</dcterms:modified>
</cp:coreProperties>
</file>

<file path=docProps/custom.xml><?xml version="1.0" encoding="utf-8"?>
<Properties xmlns="http://schemas.openxmlformats.org/officeDocument/2006/custom-properties" xmlns:vt="http://schemas.openxmlformats.org/officeDocument/2006/docPropsVTypes"/>
</file>