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atención al cliente, manual y desvíos · versión 4</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Novedades de la versión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app sea solo el sistema de gestión de la empresa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13 módulos (tablero, órdenes, calidad, etiquetado, expedición, equipos, recargas, reclamos, clientes, desvíos, insumos, reportes y configuración) con los datos reales del plan, el MRP y el BOM</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siga las normas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reglas están dentro del sistema: partida y estampilla DPS (Res. 349/07), contraste de manómetros cada 15 días, archivo batch del SGM (Res. 32-AGC/15), plazos de reclamos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Normativa de atención al cliente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12: plazos y matriz norma → cómo lo cumple la app (Ley 24.240, Ley 25.326, Res. SCI 424/2020, Ley 26.993, IRAM-ISO 10002)</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de seguimiento y trazabilidad</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13: manual MT-01 con responsabilidades, registros, 12 procedimientos, búsqueda de traza y retiro preventivo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Análisis de desvíos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14: reglas automáticas, cartas de control, Pareto y registro de desvíos</w:t>
            </w:r>
          </w:p>
        </w:tc>
      </w:tr>
    </w:tbl>
    <w:p>
      <w:pPr>
        <w:spacing w:after="120"/>
      </w:pPr>
    </w:p>
    <w:p>
      <w:pPr>
        <w:pStyle w:val="Heading1"/>
        <w:keepNext/>
        <w:spacing w:after="120" w:before="240" w:line="276"/>
      </w:pPr>
      <w:r>
        <w:rPr>
          <w:rFonts w:ascii="Arial" w:cs="Arial" w:eastAsia="Arial" w:hAnsi="Arial"/>
          <w:color w:val="000000"/>
          <w:sz w:val="19"/>
          <w:szCs w:val="19"/>
        </w:rPr>
        <w:t xml:space="preserve">0. Qué cambió en la versión 3 (tus 8 puntos)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hice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Que se entienda dónde va y cuánto perfora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Renders del matafuego real de los planos con flechas (1.1), vista desde arriba con los ángulos (1.2) y corte de la pared </w:t>
            </w:r>
            <w:r>
              <w:rPr>
                <w:rFonts w:ascii="Arial" w:cs="Arial" w:eastAsia="Arial" w:hAnsi="Arial"/>
                <w:b/>
                <w:bCs/>
                <w:color w:val="000000"/>
                <w:sz w:val="16"/>
                <w:szCs w:val="16"/>
              </w:rPr>
              <w:t xml:space="preserve">a escala</w:t>
            </w:r>
            <w:r>
              <w:rPr>
                <w:rFonts w:ascii="Arial" w:cs="Arial" w:eastAsia="Arial" w:hAnsi="Arial"/>
                <w:b w:val="false"/>
                <w:bCs w:val="false"/>
                <w:color w:val="000000"/>
                <w:sz w:val="16"/>
                <w:szCs w:val="16"/>
              </w:rPr>
              <w:t xml:space="preserve"> con lo que perfora y lo que queda (1.4)</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No una tablet por puesto; investigar</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registro de cada puesto es la </w:t>
            </w:r>
            <w:r>
              <w:rPr>
                <w:rFonts w:ascii="Arial" w:cs="Arial" w:eastAsia="Arial" w:hAnsi="Arial"/>
                <w:b/>
                <w:bCs/>
                <w:color w:val="000000"/>
                <w:sz w:val="16"/>
                <w:szCs w:val="16"/>
              </w:rPr>
              <w:t xml:space="preserve">hoja de ruta del lote</w:t>
            </w:r>
            <w:r>
              <w:rPr>
                <w:rFonts w:ascii="Arial" w:cs="Arial" w:eastAsia="Arial" w:hAnsi="Arial"/>
                <w:b w:val="false"/>
                <w:bCs w:val="false"/>
                <w:color w:val="000000"/>
                <w:sz w:val="16"/>
                <w:szCs w:val="16"/>
              </w:rPr>
              <w:t xml:space="preserve"> (papel firmado). Se lee con un lector solo en etiquetado y en despacho. Sección 2 con lo que encontré</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Cómo duran las etiquetas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no tiene que durar 20 años: se renueva en cada servicio (IRAM 3517-2 9.4.14). El que dura es el grabado (sección 6)</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Intraplanta paso a paso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3: los 10 pasos con quién, qué, con qué, cuánto tarda y qué pasa si falla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Extraplanta exacto, con limitaciones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4: del pedido a la instalación, paso a paso, con los documentos y las restricciones legales y prácticas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Tecnología y conexiones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7: qué partes hay y cómo se conectan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Interfaz, software y hardware; que se alimente de los Excel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8: pantallas, equipos (casi todos ya previstos en el layout) y cómo el sistema lee el Plan mensual y asigna las series por lote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Todo transparente</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9: quién ve qué, cómo se corrige un error sin borrar, qué indicadores da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App en Vercel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la app con el diseño de FLAMA, lista para publicar en Vercel</w:t>
            </w:r>
          </w:p>
        </w:tc>
      </w:tr>
    </w:tbl>
    <w:p>
      <w:pPr>
        <w:spacing w:after="120"/>
      </w:pPr>
    </w:p>
    <w:p>
      <w:pPr>
        <w:pStyle w:val="Heading1"/>
        <w:keepNext/>
        <w:spacing w:after="120" w:before="240" w:line="276"/>
      </w:pPr>
      <w:r>
        <w:rPr>
          <w:rFonts w:ascii="Arial" w:cs="Arial" w:eastAsia="Arial" w:hAnsi="Arial"/>
          <w:color w:val="000000"/>
          <w:sz w:val="19"/>
          <w:szCs w:val="19"/>
        </w:rPr>
        <w:t xml:space="preserve">1. Dónde va todo y cuánto perfora</w:t>
      </w:r>
    </w:p>
    <w:p>
      <w:pPr>
        <w:pStyle w:val="Heading2"/>
        <w:keepNext/>
        <w:spacing w:after="80" w:before="180" w:line="276"/>
      </w:pPr>
      <w:r>
        <w:rPr>
          <w:rFonts w:ascii="Arial" w:cs="Arial" w:eastAsia="Arial" w:hAnsi="Arial"/>
          <w:color w:val="000000"/>
          <w:sz w:val="19"/>
          <w:szCs w:val="19"/>
        </w:rPr>
        <w:t xml:space="preserve">1.1 El matafuego real con cada cosa en su lugar</w:t>
      </w:r>
    </w:p>
    <w:p>
      <w:pPr>
        <w:spacing w:after="100" w:before="0" w:line="276"/>
      </w:pPr>
      <w:r>
        <w:rPr>
          <w:rFonts w:ascii="Arial" w:cs="Arial" w:eastAsia="Arial" w:hAnsi="Arial"/>
          <w:color w:val="000000"/>
          <w:sz w:val="19"/>
          <w:szCs w:val="19"/>
        </w:rPr>
        <w:t xml:space="preserve">Renders del modelo 3D de los planos (mismas piezas, mismas medidas) con la franja grabada, el QR de serie, la etiqueta, la oblea y la faja de sustituto agregados donde van.</w:t>
      </w:r>
    </w:p>
    <w:p>
      <w:pPr>
        <w:keepNext/>
        <w:spacing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838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5 kg. Izquierda: lado etiqueta; la costura longitudinal queda debajo de la etiqueta. Centro: lado opuesto (contra la pared): la franja grabada abajo, en la pollera, y el QR de serie a media altura. Derecha: tres cuartos.</w:t>
      </w:r>
    </w:p>
    <w:p>
      <w:pPr>
        <w:keepNext/>
        <w:spacing w:after="60"/>
        <w:jc w:val="center"/>
      </w:pPr>
      <w:r>
        <w:drawing>
          <wp:inline distT="0" distB="0" distL="0" distR="0">
            <wp:extent cx="4676775" cy="3352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33528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1 kg: igual que el 5 kg, con la franja encima del fondo (no tiene pollera).</w:t>
      </w:r>
    </w:p>
    <w:p>
      <w:pPr>
        <w:keepNext/>
        <w:spacing w:after="60"/>
        <w:jc w:val="center"/>
      </w:pPr>
      <w:r>
        <w:drawing>
          <wp:inline distT="0" distB="0" distL="0" distR="0">
            <wp:extent cx="5400675"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876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25 kg: la franja va del lado de la etiqueta, al costado de la costura y encima de los triángulos del eje; del otro lado está la manga enrollada.</w:t>
      </w:r>
    </w:p>
    <w:p>
      <w:pPr>
        <w:pStyle w:val="Heading2"/>
        <w:keepNext/>
        <w:spacing w:after="80" w:before="180" w:line="276"/>
      </w:pPr>
      <w:r>
        <w:rPr>
          <w:rFonts w:ascii="Arial" w:cs="Arial" w:eastAsia="Arial" w:hAnsi="Arial"/>
          <w:color w:val="000000"/>
          <w:sz w:val="19"/>
          <w:szCs w:val="19"/>
        </w:rPr>
        <w:t xml:space="preserve">1.2 Vista desde arriba: en qué ángulo va cada cosa</w:t>
      </w:r>
    </w:p>
    <w:p>
      <w:pPr>
        <w:keepNext/>
        <w:spacing w:after="60"/>
        <w:jc w:val="center"/>
      </w:pPr>
      <w:r>
        <w:drawing>
          <wp:inline distT="0" distB="0" distL="0" distR="0">
            <wp:extent cx="5943600" cy="2562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costura es 0°. La etiqueta del fabricante la envuelve; la franja grabada va enfrente (180°) en manuales y a un costado de la costura en carros.</w:t>
      </w:r>
    </w:p>
    <w:p>
      <w:pPr>
        <w:pStyle w:val="Heading2"/>
        <w:keepNext/>
        <w:spacing w:after="80" w:before="180" w:line="276"/>
      </w:pPr>
      <w:r>
        <w:rPr>
          <w:rFonts w:ascii="Arial" w:cs="Arial" w:eastAsia="Arial" w:hAnsi="Arial"/>
          <w:color w:val="000000"/>
          <w:sz w:val="19"/>
          <w:szCs w:val="19"/>
        </w:rPr>
        <w:t xml:space="preserve">1.3 Medidas exactas por modelo</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 (la chapa tal como la ve la marcadora, cara exterior arriba; los bordes gruesos son la costura). Rojo: franja; amarillo: faja abierta; gris: etiqueta; violeta: oblea y tarjeta AGC; rosa: sello IRAM; celeste: QR de serie.</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 (gris oscuro).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2680"/>
        <w:gridCol w:w="1515"/>
        <w:gridCol w:w="1398"/>
        <w:gridCol w:w="699"/>
        <w:gridCol w:w="1515"/>
        <w:gridCol w:w="116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de costura (mm)</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inferior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1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(mm)</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Heading2"/>
        <w:keepNext/>
        <w:spacing w:after="80" w:before="180" w:line="276"/>
      </w:pPr>
      <w:r>
        <w:rPr>
          <w:rFonts w:ascii="Arial" w:cs="Arial" w:eastAsia="Arial" w:hAnsi="Arial"/>
          <w:color w:val="000000"/>
          <w:sz w:val="19"/>
          <w:szCs w:val="19"/>
        </w:rPr>
        <w:t xml:space="preserve">1.4 Qué se graba y cuánto perfora</w:t>
      </w:r>
    </w:p>
    <w:p>
      <w:pPr>
        <w:keepNext/>
        <w:spacing w:after="60"/>
        <w:jc w:val="center"/>
      </w:pPr>
      <w:r>
        <w:drawing>
          <wp:inline distT="0" distB="0" distL="0" distR="0">
            <wp:extent cx="5943600" cy="4143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 DataMatrix (lectura con cámara), texto que pide la norma (fabricante, número, año; carros: presión de ensayo) y cuño DPS.</w:t>
      </w:r>
    </w:p>
    <w:p>
      <w:pPr>
        <w:keepNext/>
        <w:spacing w:after="60"/>
        <w:jc w:val="center"/>
      </w:pPr>
      <w:r>
        <w:drawing>
          <wp:inline distT="0" distB="0" distL="0" distR="0">
            <wp:extent cx="5943600"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a escala: lo que perfora el punzón y lo que queda.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515"/>
        <w:gridCol w:w="1398"/>
        <w:gridCol w:w="1049"/>
        <w:gridCol w:w="454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Chapa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Perfora</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Queda</w:t>
            </w:r>
          </w:p>
        </w:tc>
        <w:tc>
          <w:tcPr>
            <w:tcW w:type="dxa" w:w="45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esa profundidad (criterio)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0,80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 ≤ 10 % del espesor; la prueba hidráulica al 100 % se hace después del grabado y valida la pared ya marcada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1,60 / 2,0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pollera (debajo del fondo, no trabaja a presión): ≈ 3 veces la pintura de 70 µm para seguir legible después de repintar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2,9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 3 veces la pintura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4,3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Las profundidades son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hasta el ensayo: 5 chapas por espesor se graban, se cilindran, se sueldan, pasan la prueba hidráulica, se granallan, se pintan, se repintan y se leen. Se aprueba si el texto se lee a simple vista, el DataMatrix decodifica y la franja no se deforma en la prueba hidráulica.</w:t>
      </w:r>
    </w:p>
    <w:p>
      <w:pPr>
        <w:pStyle w:val="Heading2"/>
        <w:keepNext/>
        <w:spacing w:after="80" w:before="180" w:line="276"/>
      </w:pPr>
      <w:r>
        <w:rPr>
          <w:rFonts w:ascii="Arial" w:cs="Arial" w:eastAsia="Arial" w:hAnsi="Arial"/>
          <w:color w:val="000000"/>
          <w:sz w:val="19"/>
          <w:szCs w:val="19"/>
        </w:rPr>
        <w:t xml:space="preserve">1.5 La faja del sustituto no tapa el grabado</w:t>
      </w:r>
    </w:p>
    <w:p>
      <w:pPr>
        <w:keepNext/>
        <w:spacing w:after="60"/>
        <w:jc w:val="center"/>
      </w:pPr>
      <w:r>
        <w:drawing>
          <wp:inline distT="0" distB="0" distL="0" distR="0">
            <wp:extent cx="5943600" cy="2257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Antes y después: la faja del plano del sustituto rodeaba todo el borde inferior; ahora queda abierta sobre la franja (5 mm de luz a cada lado).</w:t>
      </w:r>
    </w:p>
    <w:p>
      <w:pPr>
        <w:spacing w:after="100" w:before="0" w:line="276"/>
      </w:pPr>
      <w:r>
        <w:rPr>
          <w:rFonts w:ascii="Arial" w:cs="Arial" w:eastAsia="Arial" w:hAnsi="Arial"/>
          <w:color w:val="000000"/>
          <w:sz w:val="19"/>
          <w:szCs w:val="19"/>
        </w:rPr>
        <w:t xml:space="preserve">Base: la faja de sustituto va en el borde inferior, con 40 mm de alto como máximo (IRAM 3517-2 9.4.5 b); la de reserva, igual y «evitando tapar los datos grabados» (5.3). Ninguna exige dar la vuelta completa. En carros la franja está más arriba y la faja queda abajo, abierta entre los triángulos del eje. En el 2,5 kg la faja baja a 21 mm porque la actual pisa 6 mm la tarjeta AGC.</w:t>
      </w:r>
    </w:p>
    <w:p>
      <w:pPr>
        <w:pStyle w:val="Heading1"/>
        <w:keepNext/>
        <w:spacing w:after="120" w:before="240" w:line="276"/>
      </w:pPr>
      <w:r>
        <w:rPr>
          <w:rFonts w:ascii="Arial" w:cs="Arial" w:eastAsia="Arial" w:hAnsi="Arial"/>
          <w:color w:val="000000"/>
          <w:sz w:val="19"/>
          <w:szCs w:val="19"/>
        </w:rPr>
        <w:t xml:space="preserve">2. Cómo funciona sin una tablet por puesto</w:t>
      </w:r>
    </w:p>
    <w:p>
      <w:pPr>
        <w:pStyle w:val="Heading2"/>
        <w:keepNext/>
        <w:spacing w:after="80" w:before="180" w:line="276"/>
      </w:pPr>
      <w:r>
        <w:rPr>
          <w:rFonts w:ascii="Arial" w:cs="Arial" w:eastAsia="Arial" w:hAnsi="Arial"/>
          <w:color w:val="000000"/>
          <w:sz w:val="19"/>
          <w:szCs w:val="19"/>
        </w:rPr>
        <w:t xml:space="preserve">2.1 Qué encontré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2"/>
        <w:gridCol w:w="3263"/>
        <w:gridCol w:w="2331"/>
      </w:tblGrid>
      <w:tr>
        <w:trPr>
          <w:cantSplit/>
          <w:tblHeader/>
        </w:trPr>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Hallazgo</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tomo para FLAMA</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identificación y trazabilidad de ISO 9001 (8.5.2) se resuelve con etiquetas, órdenes de trabajo u hojas de ruta y control por lote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del lote es el registro de los puestos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3ftlqesi6_rjr0uemznxa">
              <w:r>
                <w:rPr>
                  <w:rFonts w:ascii="Arial" w:cs="Arial" w:eastAsia="Arial" w:hAnsi="Arial"/>
                  <w:color w:val="1F1F1F"/>
                  <w:sz w:val="16"/>
                  <w:szCs w:val="16"/>
                  <w:u w:val="single"/>
                </w:rPr>
                <w:t xml:space="preserve">ISO 9001 8.5.2</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lector en modo teclado (HID) escribe lo leído en el campo activo de un formulario web, sin instalar nada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se enchufa a la PC de etiquetado y despacho y listo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olbuotr2oanfdqtmbmvvw">
              <w:r>
                <w:rPr>
                  <w:rFonts w:ascii="Arial" w:cs="Arial" w:eastAsia="Arial" w:hAnsi="Arial"/>
                  <w:color w:val="1F1F1F"/>
                  <w:sz w:val="16"/>
                  <w:szCs w:val="16"/>
                  <w:u w:val="single"/>
                </w:rPr>
                <w:t xml:space="preserve">Tallyfy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lectores de mano para marcas directas leen micropercusión en superficies cilíndricas y oscuras; el fabricante informa lecturas en menos de 150 ms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en etiquetado, uno en 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17ssy6b1sxcvi8-3myhp_">
              <w:r>
                <w:rPr>
                  <w:rFonts w:ascii="Arial" w:cs="Arial" w:eastAsia="Arial" w:hAnsi="Arial"/>
                  <w:color w:val="1F1F1F"/>
                  <w:sz w:val="16"/>
                  <w:szCs w:val="16"/>
                  <w:u w:val="single"/>
                </w:rPr>
                <w:t xml:space="preserve">Cognex DataMan 8700</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software de las marcadoras en red asigna números de serie desde una base de datos y evita duplicados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asigna las series del lote y la marcadora solo graba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nhryttlake_30gm-zptth">
              <w:r>
                <w:rPr>
                  <w:rFonts w:ascii="Arial" w:cs="Arial" w:eastAsia="Arial" w:hAnsi="Arial"/>
                  <w:color w:val="1F1F1F"/>
                  <w:sz w:val="16"/>
                  <w:szCs w:val="16"/>
                  <w:u w:val="single"/>
                </w:rPr>
                <w:t xml:space="preserve">Pryor</w:t>
              </w:r>
            </w:hyperlink>
            <w:r>
              <w:rPr>
                <w:rFonts w:ascii="Arial" w:cs="Arial" w:eastAsia="Arial" w:hAnsi="Arial"/>
                <w:b w:val="false"/>
                <w:bCs w:val="false"/>
                <w:color w:val="000000"/>
                <w:sz w:val="16"/>
                <w:szCs w:val="16"/>
              </w:rPr>
              <w:t xml:space="preserve"> · </w:t>
            </w:r>
            <w:hyperlink w:history="1" r:id="rIdmohdjy2rzrbpmjyktv33k">
              <w:r>
                <w:rPr>
                  <w:rFonts w:ascii="Arial" w:cs="Arial" w:eastAsia="Arial" w:hAnsi="Arial"/>
                  <w:color w:val="1F1F1F"/>
                  <w:sz w:val="16"/>
                  <w:szCs w:val="16"/>
                  <w:u w:val="single"/>
                </w:rPr>
                <w:t xml:space="preserve">Brady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impresoras Zebra imprimen desde una página web con su servicio Browser Print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sale de la misma pantalla donde se leyó el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wg4qpkzsacwgpuuxs274n">
              <w:r>
                <w:rPr>
                  <w:rFonts w:ascii="Arial" w:cs="Arial" w:eastAsia="Arial" w:hAnsi="Arial"/>
                  <w:color w:val="1F1F1F"/>
                  <w:sz w:val="16"/>
                  <w:szCs w:val="16"/>
                  <w:u w:val="single"/>
                </w:rPr>
                <w:t xml:space="preserve">Zebra</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el QR es una dirección web que lleva el número de serie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solo QR sirve al cliente y a FLAMA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sysg0cbjuom9570il39kk">
              <w:r>
                <w:rPr>
                  <w:rFonts w:ascii="Arial" w:cs="Arial" w:eastAsia="Arial" w:hAnsi="Arial"/>
                  <w:color w:val="1F1F1F"/>
                  <w:sz w:val="16"/>
                  <w:szCs w:val="16"/>
                  <w:u w:val="single"/>
                </w:rPr>
                <w:t xml:space="preserve">GS1 Digital Link</w:t>
              </w:r>
            </w:hyperlink>
          </w:p>
        </w:tc>
      </w:tr>
    </w:tbl>
    <w:p>
      <w:pPr>
        <w:spacing w:after="120"/>
      </w:pPr>
    </w:p>
    <w:p>
      <w:pPr>
        <w:pStyle w:val="Heading2"/>
        <w:keepNext/>
        <w:spacing w:after="80" w:before="180" w:line="276"/>
      </w:pPr>
      <w:r>
        <w:rPr>
          <w:rFonts w:ascii="Arial" w:cs="Arial" w:eastAsia="Arial" w:hAnsi="Arial"/>
          <w:color w:val="000000"/>
          <w:sz w:val="19"/>
          <w:szCs w:val="19"/>
        </w:rPr>
        <w:t xml:space="preserve">2.2 Tres formas posibles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263"/>
        <w:gridCol w:w="2680"/>
        <w:gridCol w:w="1982"/>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Opción</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es</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del operario</w:t>
            </w:r>
          </w:p>
        </w:tc>
        <w:tc>
          <w:tcPr>
            <w:tcW w:type="dxa" w:w="19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Tablet en cada puesto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puesto lee y carga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carga en todos los puestos</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lo que dijiste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 Hoja de ruta + lecturas en 2 puntos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firmado registra los puestos; se lee solo al etiquetar y al despachar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por equipo en los controles y una lectura al etiquetar</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Sí</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 Cámaras fijas en todos los puestos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cámaras leen solas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Futuro: caro de poner a punto</w:t>
            </w:r>
          </w:p>
        </w:tc>
      </w:tr>
    </w:tbl>
    <w:p>
      <w:pPr>
        <w:spacing w:after="120"/>
      </w:pPr>
    </w:p>
    <w:p>
      <w:pPr>
        <w:spacing w:after="100" w:before="0" w:line="276"/>
      </w:pPr>
      <w:r>
        <w:rPr>
          <w:rFonts w:ascii="Arial" w:cs="Arial" w:eastAsia="Arial" w:hAnsi="Arial"/>
          <w:b/>
          <w:bCs/>
          <w:color w:val="000000"/>
          <w:sz w:val="19"/>
          <w:szCs w:val="19"/>
        </w:rPr>
        <w:t xml:space="preserve">La idea clave:</w:t>
      </w:r>
      <w:r>
        <w:rPr>
          <w:rFonts w:ascii="Arial" w:cs="Arial" w:eastAsia="Arial" w:hAnsi="Arial"/>
          <w:color w:val="000000"/>
          <w:sz w:val="19"/>
          <w:szCs w:val="19"/>
        </w:rPr>
        <w:t xml:space="preserve"> el sistema ya sabe qué series tiene cada lote antes de empezar, porque las asigna a partir del Plan mensual. Durante el proceso solo hay que registrar lo que le pasa </w:t>
      </w:r>
      <w:r>
        <w:rPr>
          <w:rFonts w:ascii="Arial" w:cs="Arial" w:eastAsia="Arial" w:hAnsi="Arial"/>
          <w:b/>
          <w:bCs/>
          <w:color w:val="000000"/>
          <w:sz w:val="19"/>
          <w:szCs w:val="19"/>
        </w:rPr>
        <w:t xml:space="preserve">al lote</w:t>
      </w:r>
      <w:r>
        <w:rPr>
          <w:rFonts w:ascii="Arial" w:cs="Arial" w:eastAsia="Arial" w:hAnsi="Arial"/>
          <w:color w:val="000000"/>
          <w:sz w:val="19"/>
          <w:szCs w:val="19"/>
        </w:rPr>
        <w:t xml:space="preserve"> (insumos y firmas) y las </w:t>
      </w:r>
      <w:r>
        <w:rPr>
          <w:rFonts w:ascii="Arial" w:cs="Arial" w:eastAsia="Arial" w:hAnsi="Arial"/>
          <w:b/>
          <w:bCs/>
          <w:color w:val="000000"/>
          <w:sz w:val="19"/>
          <w:szCs w:val="19"/>
        </w:rPr>
        <w:t xml:space="preserve">excepciones</w:t>
      </w:r>
      <w:r>
        <w:rPr>
          <w:rFonts w:ascii="Arial" w:cs="Arial" w:eastAsia="Arial" w:hAnsi="Arial"/>
          <w:color w:val="000000"/>
          <w:sz w:val="19"/>
          <w:szCs w:val="19"/>
        </w:rPr>
        <w:t xml:space="preserve"> (los rechazos, con su número, que está grabado y se lee a simple vista).</w:t>
      </w:r>
    </w:p>
    <w:p>
      <w:pPr>
        <w:pStyle w:val="Heading1"/>
        <w:keepNext/>
        <w:spacing w:after="120" w:before="240" w:line="276"/>
      </w:pPr>
      <w:r>
        <w:rPr>
          <w:rFonts w:ascii="Arial" w:cs="Arial" w:eastAsia="Arial" w:hAnsi="Arial"/>
          <w:color w:val="000000"/>
          <w:sz w:val="19"/>
          <w:szCs w:val="19"/>
        </w:rPr>
        <w:t xml:space="preserve">3. Intraplanta paso a paso</w:t>
      </w:r>
    </w:p>
    <w:p>
      <w:pPr>
        <w:keepNext/>
        <w:spacing w:after="60"/>
        <w:jc w:val="center"/>
      </w:pPr>
      <w:r>
        <w:drawing>
          <wp:inline distT="0" distB="0" distL="0" distR="0">
            <wp:extent cx="594360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25431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El lote de punta a punta: en qué pasos se escribe, en cuáles se lee y cuánto agrega a cada operario.</w:t>
      </w:r>
    </w:p>
    <w:p>
      <w:pPr>
        <w:keepNext/>
        <w:spacing w:after="60"/>
        <w:jc w:val="center"/>
      </w:pPr>
      <w:r>
        <w:drawing>
          <wp:inline distT="0" distB="0" distL="0" distR="0">
            <wp:extent cx="5038725" cy="6391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38725" cy="63912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hoja de ruta del lote (A4). La imprime PCP con las series ya cargadas y viaja dentro del carro. Formato con la OP 26-10-08 del Plan mensual; los campos se completan en 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2560"/>
        <w:gridCol w:w="1447"/>
        <w:gridCol w:w="1670"/>
        <w:gridCol w:w="1557"/>
      </w:tblGrid>
      <w:tr>
        <w:trPr>
          <w:cantSplit/>
          <w:tblHeader/>
        </w:trPr>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5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16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 en el sistema</w:t>
            </w:r>
          </w:p>
        </w:tc>
        <w:tc>
          <w:tcPr>
            <w:tcW w:type="dxa" w:w="1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falla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 del lote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oficina</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Plan mensual del Excel de Aprovechamiento y propone los lotes de la semana; PCP confirma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A4 (existen)</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modelo, cantidad, series reservadas (26-005480…527), hoja de chapa</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Grabado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 Pannier</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el archivo de series del lote (o el primer número y la marcadora numera sola: confirmar con Pannier) y graba cada planchuela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que tipear: las series ya estaban asignadas</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una planchuela sale mal grabada se anula ese número en la hoja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Cúpulas, cuellos, cilindrado, soldaduras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 a 12</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firma por lote en su renglón; anota o pega la etiqueta del lote de insumo (cúpulas, alambre, gas)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en el cierre (paso 7)</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lo saca del carro y anota el número grabado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Espesor y prueba hidráulica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 y 14</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 o ✗ por serie en la lista de la hoja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sale del carro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Granallado, pintura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 a 19</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y lote de pintura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Carga, presurización, pérdidas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 a 23</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lotes de polvo y válvulas; ✓ / ✗ por serie en carga y pérdidas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 balanza y manómetro como hoy</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Cierre de la hoja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al final del lote</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Saca una foto de la hoja firmada desde el celular y marca los rechazos en la lista que muestra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insumos y rechazos del lote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el lote no se puede etiquetar</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Etiquetado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(manuales) / C-15 (carros)</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de cada equipo con el lector; la impresora saca su etiqueta de serie y la de su caja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 DPM USB</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por serie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la serie es un rechazo o de otro lote: la pantalla la bloquea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Embalaje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Pega la etiqueta de caja, arma el pallet; al cerrar el pallet lee las cajas e imprime la etiqueta SSCC</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el pallet no cierra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Depósito de producto terminado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el pallet ya está en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del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igual, con dos diferencias. La pintura es tercerizada: al despachar al pintor se lee el grabado de cada carro con el lector (lista del envío) y al volver se lee de nuevo; el sistema avisa si falta alguno. Y el depósito retiene el lote hasta que aprueban los ensayos de lote (DOC-02 L1 a L5).</w:t>
      </w:r>
    </w:p>
    <w:p>
      <w:pPr>
        <w:pStyle w:val="Heading2"/>
        <w:keepNext/>
        <w:spacing w:after="80" w:before="180" w:line="276"/>
      </w:pPr>
      <w:r>
        <w:rPr>
          <w:rFonts w:ascii="Arial" w:cs="Arial" w:eastAsia="Arial" w:hAnsi="Arial"/>
          <w:color w:val="000000"/>
          <w:sz w:val="19"/>
          <w:szCs w:val="19"/>
        </w:rPr>
        <w:t xml:space="preserve">3.1 Qué controla cada firma (fuente: DOC-02 «Ensayos de fabricación ABC»)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331"/>
        <w:gridCol w:w="547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5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certificado de colada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 (R1)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 12 Soldaduras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(R2)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medido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y tiempo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durante 1 min, sin caída, pérdidas ni deformación (R3; IRAM 3517-2 9.7.5.2)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interior</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(R5)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polvo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0/+100 g; 5 y 10 kg 0/+300 g; carros ± 3 % (R6; IRAM 3517-2 tabla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(R7)</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control a 24 h (R8)</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total y marcado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 grabado (R9)</w:t>
            </w:r>
          </w:p>
        </w:tc>
      </w:tr>
    </w:tbl>
    <w:p>
      <w:pPr>
        <w:spacing w:after="120"/>
      </w:pPr>
    </w:p>
    <w:p>
      <w:pPr>
        <w:pStyle w:val="Heading2"/>
        <w:keepNext/>
        <w:spacing w:after="80" w:before="180" w:line="276"/>
      </w:pPr>
      <w:r>
        <w:rPr>
          <w:rFonts w:ascii="Arial" w:cs="Arial" w:eastAsia="Arial" w:hAnsi="Arial"/>
          <w:color w:val="000000"/>
          <w:sz w:val="19"/>
          <w:szCs w:val="19"/>
        </w:rPr>
        <w:t xml:space="preserve">3.2 El legajo que resulta</w:t>
      </w:r>
    </w:p>
    <w:p>
      <w:pPr>
        <w:spacing w:after="100" w:before="0" w:line="276"/>
      </w:pPr>
      <w:r>
        <w:rPr>
          <w:rFonts w:ascii="Arial" w:cs="Arial" w:eastAsia="Arial" w:hAnsi="Arial"/>
          <w:color w:val="000000"/>
          <w:sz w:val="19"/>
          <w:szCs w:val="19"/>
        </w:rPr>
        <w:t xml:space="preserve">Lo que queda registrado de cada lote, con la OP 26-10-08 del Plan mensual de octubre como referencia. Los datos de planta (lotes de insumo, firmas, rechazos, pesadas) se completan cuando el lote pasa por cada puesto.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5594"/>
        <w:gridCol w:w="2797"/>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 que se registra</w:t>
            </w:r>
          </w:p>
        </w:tc>
        <w:tc>
          <w:tcPr>
            <w:tcW w:type="dxa" w:w="27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26-10-08 · ABC 5 kg · 48 series 26-005480 a 26-005527 · partida P-26-10-C1</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PCP</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de cada planchuela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la Pannier</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de alambre, gas y cúpulas; firmas</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PH</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 ✗ por serie; rechazos con su número</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y carga</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de pintura, polvo y válvulas; pesadas; ✓ / ✗ de pérdidas</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y balanza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ensayos L1 a L5, visado del RT</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 planilla F-02</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grabado de cada serie apta</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 impresora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y sus series</w:t>
            </w:r>
          </w:p>
        </w:tc>
        <w:tc>
          <w:tcPr>
            <w:tcW w:type="dxa" w:w="27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r>
    </w:tbl>
    <w:p>
      <w:pPr>
        <w:spacing w:after="120"/>
      </w:pPr>
    </w:p>
    <w:p>
      <w:pPr>
        <w:pStyle w:val="Heading1"/>
        <w:keepNext/>
        <w:spacing w:after="120" w:before="240" w:line="276"/>
      </w:pPr>
      <w:r>
        <w:rPr>
          <w:rFonts w:ascii="Arial" w:cs="Arial" w:eastAsia="Arial" w:hAnsi="Arial"/>
          <w:color w:val="000000"/>
          <w:sz w:val="19"/>
          <w:szCs w:val="19"/>
        </w:rPr>
        <w:t xml:space="preserve">4. Extraplanta paso a paso: del camión al cliente</w:t>
      </w:r>
    </w:p>
    <w:p>
      <w:pPr>
        <w:keepNext/>
        <w:spacing w:after="60"/>
        <w:jc w:val="center"/>
      </w:pPr>
      <w:r>
        <w:drawing>
          <wp:inline distT="0" distB="0" distL="0" distR="0">
            <wp:extent cx="5943600" cy="2600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600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Cada traspaso: quién entrega, quién recibe y cómo queda registrado.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51"/>
        <w:gridCol w:w="1126"/>
        <w:gridCol w:w="2589"/>
        <w:gridCol w:w="1689"/>
        <w:gridCol w:w="1463"/>
        <w:gridCol w:w="1688"/>
      </w:tblGrid>
      <w:tr>
        <w:trPr>
          <w:cantSplit/>
          <w:tblHeader/>
        </w:trPr>
        <w:tc>
          <w:tcPr>
            <w:tcW w:type="dxa" w:w="13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12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5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6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14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6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Limitación</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Pedido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ventas</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el remito; el sistema le agrega el anexo de series y un QR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Picking</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juntan los pallets; si se arma un pallet mixto se leen las cajas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de series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pallet o cajas</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abierto: hay que leer caja por caja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Carga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 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el seguro puesto, sujetos con film y fajas; carros calzados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suscripta por el cargador (CCyCN art. 1298); COT de ARBA si supera los umbrales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cada pallet al subir (sale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 restricciones (4.1)</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Salida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la carta de porte y lee con su celular el QR del remito: queda EN TRÁNSITO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segundo ejemplar (art. 1299) y guía (art. 1300)</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sin app</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queda pendiente y se sincroniza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Viaje</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y horario según destino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no rastrea el camión (no hace falta)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Entrega al distribuidor</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revisa, lee el QR del remito y confirma; marca faltantes o daños con foto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web del remito (entra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no confirma: el chofer trae el remito firmado y PCP lo carga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Venta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 lee el QR del equipo: se registra a quién</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está obligado: incentivo = la garantía se activa al registrar (criterio)</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Instalación (llave en mano)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Cuelga el equipo con la parte superior a ≤ 1,5 m del piso (≤ 1 m si pesa más de 20 kg) y ≥ 0,10 m libre abajo (IRAM 3517-2 6.2.14); cartel a 2,0–2,5 m (7.3); lee el QR, saca foto y carga dirección y sector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firma el cliente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el cliente instala solo: se registra cuando escanea el QR</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En servicio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vencimientos y permite pedir el servicio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pStyle w:val="Heading2"/>
        <w:keepNext/>
        <w:spacing w:after="80" w:before="180" w:line="276"/>
      </w:pPr>
      <w:r>
        <w:rPr>
          <w:rFonts w:ascii="Arial" w:cs="Arial" w:eastAsia="Arial" w:hAnsi="Arial"/>
          <w:color w:val="000000"/>
          <w:sz w:val="19"/>
          <w:szCs w:val="19"/>
        </w:rPr>
        <w:t xml:space="preserve">4.1 Restricciones y limitaciones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4429"/>
        <w:gridCol w:w="1981"/>
        <w:gridCol w:w="2447"/>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Tipo</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Restricción</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extintores con gas son mercancía peligrosa UN 1044, clase 2.2, con disposición especial 225. La Res. 195/97 exime de parte de los requisitos a las cantidades iguales o menores a la exenta de su lista, pero nunca del matafuego del vehículo. </w:t>
            </w:r>
            <w:r>
              <w:rPr>
                <w:rFonts w:ascii="Arial" w:cs="Arial" w:eastAsia="Arial" w:hAnsi="Arial"/>
                <w:b/>
                <w:bCs/>
                <w:color w:val="000000"/>
                <w:sz w:val="16"/>
                <w:szCs w:val="16"/>
              </w:rPr>
              <w:t xml:space="preserve">Falta confirmar</w:t>
            </w:r>
            <w:r>
              <w:rPr>
                <w:rFonts w:ascii="Arial" w:cs="Arial" w:eastAsia="Arial" w:hAnsi="Arial"/>
                <w:b w:val="false"/>
                <w:bCs w:val="false"/>
                <w:color w:val="000000"/>
                <w:sz w:val="16"/>
                <w:szCs w:val="16"/>
              </w:rPr>
              <w:t xml:space="preserve"> la cantidad exenta para UN 1044 en el texto vigente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hvzk3h93_nndccsjffcxj">
              <w:r>
                <w:rPr>
                  <w:rFonts w:ascii="Arial" w:cs="Arial" w:eastAsia="Arial" w:hAnsi="Arial"/>
                  <w:color w:val="1F1F1F"/>
                  <w:sz w:val="16"/>
                  <w:szCs w:val="16"/>
                  <w:u w:val="single"/>
                </w:rPr>
                <w:t xml:space="preserve">Res. 195/97</w:t>
              </w:r>
            </w:hyperlink>
            <w:r>
              <w:rPr>
                <w:rFonts w:ascii="Arial" w:cs="Arial" w:eastAsia="Arial" w:hAnsi="Arial"/>
                <w:b w:val="false"/>
                <w:bCs w:val="false"/>
                <w:color w:val="000000"/>
                <w:sz w:val="16"/>
                <w:szCs w:val="16"/>
              </w:rPr>
              <w:t xml:space="preserve">; </w:t>
            </w:r>
            <w:hyperlink w:history="1" r:id="rIdkhcbgp3yf_2r2noggrudb">
              <w:r>
                <w:rPr>
                  <w:rFonts w:ascii="Arial" w:cs="Arial" w:eastAsia="Arial" w:hAnsi="Arial"/>
                  <w:color w:val="1F1F1F"/>
                  <w:sz w:val="16"/>
                  <w:szCs w:val="16"/>
                  <w:u w:val="single"/>
                </w:rPr>
                <w:t xml:space="preserve">ONU lista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armar la carga suma los equipos y avisa si se pasa del límite que se cargue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la suscribe el cargador; hay segundo ejemplar y guía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1ra13iw-8gdixzumevifv">
              <w:r>
                <w:rPr>
                  <w:rFonts w:ascii="Arial" w:cs="Arial" w:eastAsia="Arial" w:hAnsi="Arial"/>
                  <w:color w:val="1F1F1F"/>
                  <w:sz w:val="16"/>
                  <w:szCs w:val="16"/>
                  <w:u w:val="single"/>
                </w:rPr>
                <w:t xml:space="preserve">CCyCN 1298</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Imprime los datos del envío con el remito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COT de ARBA para traslados en la provincia según umbrales vigentes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cse8bzdjrumgidbdk34vt">
              <w:r>
                <w:rPr>
                  <w:rFonts w:ascii="Arial" w:cs="Arial" w:eastAsia="Arial" w:hAnsi="Arial"/>
                  <w:color w:val="1F1F1F"/>
                  <w:sz w:val="16"/>
                  <w:szCs w:val="16"/>
                  <w:u w:val="single"/>
                </w:rPr>
                <w:t xml:space="preserve">ARBA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Campo para el código COT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Ciudad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CABA, la carga y descarga en carriles exclusivos solo de 21 a 07 h, máximo 30 min</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puxqdizn-qjg1l43xlf9e">
              <w:r>
                <w:rPr>
                  <w:rFonts w:ascii="Arial" w:cs="Arial" w:eastAsia="Arial" w:hAnsi="Arial"/>
                  <w:color w:val="1F1F1F"/>
                  <w:sz w:val="16"/>
                  <w:szCs w:val="16"/>
                  <w:u w:val="single"/>
                </w:rPr>
                <w:t xml:space="preserve">GCBA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horario en la hoja de ruta del camión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Físico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seguro y precinto; rango de uso −20 a 50 °C (catálogo); carros calzados y atados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catálogo de los planos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de control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Distribuidores y clientes no están obligados a leer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no leído queda en el último que lo tuvo; el cliente puede registrarlo al escanear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en la entrega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guarda y envía cuando hay señal; el papel firmado es el respaldo</w:t>
            </w:r>
          </w:p>
        </w:tc>
      </w:tr>
    </w:tbl>
    <w:p>
      <w:pPr>
        <w:spacing w:after="120"/>
      </w:pPr>
    </w:p>
    <w:p>
      <w:pPr>
        <w:pStyle w:val="Heading1"/>
        <w:keepNext/>
        <w:spacing w:after="120" w:before="240" w:line="276"/>
      </w:pPr>
      <w:r>
        <w:rPr>
          <w:rFonts w:ascii="Arial" w:cs="Arial" w:eastAsia="Arial" w:hAnsi="Arial"/>
          <w:color w:val="000000"/>
          <w:sz w:val="19"/>
          <w:szCs w:val="19"/>
        </w:rPr>
        <w:t xml:space="preserve">5. Retorno, recarga, seguros e inutilización</w:t>
      </w:r>
    </w:p>
    <w:p>
      <w:pPr>
        <w:keepNext/>
        <w:spacing w:after="60"/>
        <w:jc w:val="center"/>
      </w:pPr>
      <w:r>
        <w:drawing>
          <wp:inline distT="0" distB="0" distL="0" distR="0">
            <wp:extent cx="594360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4895"/>
        <w:gridCol w:w="1981"/>
        <w:gridCol w:w="1632"/>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avisa antes del vencimiento: mantenimiento anual; PH cada 5 años en polvo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9.2.1; anexo 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deja un sustituto de igual clasificación y capacidad, con faja amarilla abierta y tarjeta «sustituto habilitado»; el sistema parea sustituto ↔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9.4.5; Res. 349/07 art. 32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los dos QR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(tablet e impresora ya previstas en recepción de recargas, más el lector)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RECIBIDO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 fecha o número faltante o adulterado, vida útil cumplida, soldaduras o masilla, corrosión, quemado, daño mecánico; PH si hay daño menor o está vencida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 9.7.1.3; 9.11; anexo F</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aplica la regla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color del año con su número; recarga; precinto trazable; etiqueta de servicio con el número de serie; registro 6 años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 9.4.13; 9.4.14; 9.4.16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rev. n+1</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Devolución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entra ✓, sustituto sale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pareo cerrado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el agente; dos orificios ≥ 10 mm en lugar visible, lejos de la franja (criterio); manguera cortada; acta del anexo G; 30 días en depósito; disposición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 anexo G</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BLOQUEADO para siempre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Seguros</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a la fecha del siniestro, el último servicio, el marbete y la ubicación, con la cadena de hashes como prueba de que no se editó</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mbqpzju9fh33qm6ddy6uh">
              <w:r>
                <w:rPr>
                  <w:rFonts w:ascii="Arial" w:cs="Arial" w:eastAsia="Arial" w:hAnsi="Arial"/>
                  <w:color w:val="1F1F1F"/>
                  <w:sz w:val="16"/>
                  <w:szCs w:val="16"/>
                  <w:u w:val="single"/>
                </w:rPr>
                <w:t xml:space="preserve">seguro de incendio</w:t>
              </w:r>
            </w:hyperlink>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con problema → series → quién las tiene → aviso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w:t>
            </w:r>
          </w:p>
        </w:tc>
      </w:tr>
    </w:tbl>
    <w:p>
      <w:pPr>
        <w:spacing w:after="120"/>
      </w:pPr>
    </w:p>
    <w:p>
      <w:pPr>
        <w:pStyle w:val="Heading1"/>
        <w:keepNext/>
        <w:spacing w:after="120" w:before="240" w:line="276"/>
      </w:pPr>
      <w:r>
        <w:rPr>
          <w:rFonts w:ascii="Arial" w:cs="Arial" w:eastAsia="Arial" w:hAnsi="Arial"/>
          <w:color w:val="000000"/>
          <w:sz w:val="19"/>
          <w:szCs w:val="19"/>
        </w:rPr>
        <w:t xml:space="preserve">6. Etiquetas: cuánto duran y qué pasa cuando se pierden</w:t>
      </w:r>
    </w:p>
    <w:p>
      <w:pPr>
        <w:keepNext/>
        <w:spacing w:after="60"/>
        <w:jc w:val="center"/>
      </w:pPr>
      <w:r>
        <w:drawing>
          <wp:inline distT="0" distB="0" distL="0" distR="0">
            <wp:extent cx="59436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16573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etiqueta acompaña un año; el grabado, toda la vida.</w:t>
      </w:r>
    </w:p>
    <w:p>
      <w:pPr>
        <w:spacing w:after="100" w:before="0" w:line="276"/>
      </w:pPr>
      <w:r>
        <w:rPr>
          <w:rFonts w:ascii="Arial" w:cs="Arial" w:eastAsia="Arial" w:hAnsi="Arial"/>
          <w:color w:val="000000"/>
          <w:sz w:val="19"/>
          <w:szCs w:val="19"/>
        </w:rPr>
        <w:t xml:space="preserve">La etiqueta </w:t>
      </w:r>
      <w:r>
        <w:rPr>
          <w:rFonts w:ascii="Arial" w:cs="Arial" w:eastAsia="Arial" w:hAnsi="Arial"/>
          <w:b/>
          <w:bCs/>
          <w:color w:val="000000"/>
          <w:sz w:val="19"/>
          <w:szCs w:val="19"/>
        </w:rPr>
        <w:t xml:space="preserve">no tiene que durar 20 años</w:t>
      </w:r>
      <w:r>
        <w:rPr>
          <w:rFonts w:ascii="Arial" w:cs="Arial" w:eastAsia="Arial" w:hAnsi="Arial"/>
          <w:color w:val="000000"/>
          <w:sz w:val="19"/>
          <w:szCs w:val="19"/>
        </w:rPr>
        <w:t xml:space="preserve">. En cada mantenimiento o recarga el recargador debe pegar una etiqueta nueva que lleve el número de serie del recipiente (IRAM 3517-2 9.4.14), y cuando se repinta la etiqueta vieja se va (9.10). Por eso cada etiqueta necesita durar alrededor de un año, y lo que dura toda la vida útil es el grabado. En cada servicio FLAMA imprime la etiqueta nueva con el mismo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2564"/>
        <w:gridCol w:w="2214"/>
        <w:gridCol w:w="2214"/>
        <w:gridCol w:w="151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Duración esperada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se pierde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(propios)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poliéster con cinta de resina (sistema certificado UL 969 si el proveedor lo acredita)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a media altura (donde los planos ya ponen la etiqueta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proveedor Zebra informa hasta 3 años interior y exterior (</w:t>
            </w:r>
            <w:hyperlink w:history="1" r:id="rIdtvxruce4pp-uvk2ja-cxo">
              <w:r>
                <w:rPr>
                  <w:rFonts w:ascii="Arial" w:cs="Arial" w:eastAsia="Arial" w:hAnsi="Arial"/>
                  <w:color w:val="1F1F1F"/>
                  <w:sz w:val="16"/>
                  <w:szCs w:val="16"/>
                  <w:u w:val="single"/>
                </w:rPr>
                <w:t xml:space="preserve">ficha</w:t>
              </w:r>
            </w:hyperlink>
            <w:r>
              <w:rPr>
                <w:rFonts w:ascii="Arial" w:cs="Arial" w:eastAsia="Arial" w:hAnsi="Arial"/>
                <w:b w:val="false"/>
                <w:bCs w:val="false"/>
                <w:color w:val="000000"/>
                <w:sz w:val="16"/>
                <w:szCs w:val="16"/>
              </w:rPr>
              <w:t xml:space="preserve">); hace falta 1</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vinilo destructible (no se puede pasar a otro equipo)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lejos de la etiqueta y del grabado del fabricante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busca por fabricante + número + año grabados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del recargador (9.4.14)</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que fija el recargador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el próximo servicio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la repone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abrir la caja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hace falta</w:t>
            </w:r>
          </w:p>
        </w:tc>
      </w:tr>
    </w:tbl>
    <w:p>
      <w:pPr>
        <w:spacing w:after="120"/>
      </w:pPr>
    </w:p>
    <w:p>
      <w:pPr>
        <w:keepNext/>
        <w:spacing w:after="60"/>
        <w:jc w:val="center"/>
      </w:pPr>
      <w:r>
        <w:drawing>
          <wp:inline distT="0" distB="0" distL="0" distR="0">
            <wp:extent cx="5943600"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28575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etiquetas del sistema con QR reales (se pueden escanear desde este documento).</w:t>
      </w:r>
    </w:p>
    <w:p>
      <w:pPr>
        <w:pStyle w:val="Heading2"/>
        <w:keepNext/>
        <w:spacing w:after="80" w:before="180" w:line="276"/>
      </w:pPr>
      <w:r>
        <w:rPr>
          <w:rFonts w:ascii="Arial" w:cs="Arial" w:eastAsia="Arial" w:hAnsi="Arial"/>
          <w:color w:val="000000"/>
          <w:sz w:val="19"/>
          <w:szCs w:val="19"/>
        </w:rPr>
        <w:t xml:space="preserve">6.1 Revendidos</w:t>
      </w:r>
    </w:p>
    <w:p>
      <w:pPr>
        <w:spacing w:after="100" w:before="0" w:line="276"/>
      </w:pPr>
      <w:r>
        <w:rPr>
          <w:rFonts w:ascii="Arial" w:cs="Arial" w:eastAsia="Arial" w:hAnsi="Arial"/>
          <w:color w:val="000000"/>
          <w:sz w:val="19"/>
          <w:szCs w:val="19"/>
        </w:rPr>
        <w:t xml:space="preserve">El revendido tiene que venir grabado por su fabricante. IRAM 3523 5.1 (BC, Clase D) e IRAM 3525 5.1 (agua) lo exigen, y sin fecha o número no se puede mantener ni recargar (IRAM 3517-2 9.11; anexo F). FLAMA no lo graba: grabaría su nombre como fabricante en un recipiente ajeno. Al recibirlo:</w:t>
      </w:r>
    </w:p>
    <w:p>
      <w:pPr>
        <w:pStyle w:val="ListParagraph"/>
        <w:numPr>
          <w:ilvl w:val="0"/>
          <w:numId w:val="2"/>
        </w:numPr>
        <w:spacing w:after="40" w:before="0" w:line="276"/>
      </w:pPr>
      <w:r>
        <w:rPr>
          <w:rFonts w:ascii="Arial" w:cs="Arial" w:eastAsia="Arial" w:hAnsi="Arial"/>
          <w:color w:val="000000"/>
          <w:sz w:val="19"/>
          <w:szCs w:val="19"/>
        </w:rPr>
        <w:t xml:space="preserve">Se lee y fotografía el grabado del fabricante; la clave del equipo es fabricante + número + año.</w:t>
      </w:r>
    </w:p>
    <w:p>
      <w:pPr>
        <w:pStyle w:val="ListParagraph"/>
        <w:numPr>
          <w:ilvl w:val="0"/>
          <w:numId w:val="2"/>
        </w:numPr>
        <w:spacing w:after="40" w:before="0" w:line="276"/>
      </w:pPr>
      <w:r>
        <w:rPr>
          <w:rFonts w:ascii="Arial" w:cs="Arial" w:eastAsia="Arial" w:hAnsi="Arial"/>
          <w:color w:val="000000"/>
          <w:sz w:val="19"/>
          <w:szCs w:val="19"/>
        </w:rPr>
        <w:t xml:space="preserve">El sistema le da un ID FLAMA (R-AA-NNNNNN) e imprime su etiqueta de vinilo destructible con QR.</w:t>
      </w:r>
    </w:p>
    <w:p>
      <w:pPr>
        <w:pStyle w:val="ListParagraph"/>
        <w:numPr>
          <w:ilvl w:val="0"/>
          <w:numId w:val="2"/>
        </w:numPr>
        <w:spacing w:after="40" w:before="0" w:line="276"/>
      </w:pPr>
      <w:r>
        <w:rPr>
          <w:rFonts w:ascii="Arial" w:cs="Arial" w:eastAsia="Arial" w:hAnsi="Arial"/>
          <w:color w:val="000000"/>
          <w:sz w:val="19"/>
          <w:szCs w:val="19"/>
        </w:rPr>
        <w:t xml:space="preserve">Se cruza con la lista de series que manda el proveedor con el remito (pedirla en la orden de compra, criterio).</w:t>
      </w:r>
    </w:p>
    <w:p>
      <w:pPr>
        <w:pStyle w:val="ListParagraph"/>
        <w:numPr>
          <w:ilvl w:val="0"/>
          <w:numId w:val="2"/>
        </w:numPr>
        <w:spacing w:after="40" w:before="0" w:line="276"/>
      </w:pPr>
      <w:r>
        <w:rPr>
          <w:rFonts w:ascii="Arial" w:cs="Arial" w:eastAsia="Arial" w:hAnsi="Arial"/>
          <w:color w:val="000000"/>
          <w:sz w:val="19"/>
          <w:szCs w:val="19"/>
        </w:rPr>
        <w:t xml:space="preserve">Si no tiene grabado: no conforme, reclamo al proveedor, no se vende.</w:t>
      </w:r>
    </w:p>
    <w:p>
      <w:pPr>
        <w:pStyle w:val="Heading1"/>
        <w:keepNext/>
        <w:spacing w:after="120" w:before="240" w:line="276"/>
      </w:pPr>
      <w:r>
        <w:rPr>
          <w:rFonts w:ascii="Arial" w:cs="Arial" w:eastAsia="Arial" w:hAnsi="Arial"/>
          <w:color w:val="000000"/>
          <w:sz w:val="19"/>
          <w:szCs w:val="19"/>
        </w:rPr>
        <w:t xml:space="preserve">7. Tecnología: qué partes hay y cómo se conectan</w:t>
      </w:r>
    </w:p>
    <w:p>
      <w:pPr>
        <w:keepNext/>
        <w:spacing w:after="60"/>
        <w:jc w:val="center"/>
      </w:pPr>
      <w:r>
        <w:drawing>
          <wp:inline distT="0" distB="0" distL="0" distR="0">
            <wp:extent cx="5943600" cy="2552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partes del sistema y sus conexiones.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2214"/>
        <w:gridCol w:w="3147"/>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Parte</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Tecnología</w:t>
            </w:r>
          </w:p>
        </w:tc>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conecta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 de producción (Sheets)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por modelo (Aprovechamiento), MRP, BOM</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Google Sheets (ya existen, con IMPORTRANGE)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lee el Plan mensual con la API de Google Sheets (cuenta de servicio, solo lectura)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web FLAMA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lotes, series, eventos, custodia, etiquetas, página pública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Next.js en Vercel</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navegador (HTTPS); no se instala nada en las PC</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de datos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Guarda todo; cada evento con el hash del anterior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Postgres administrado</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la app; copia diaria a Sheets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 las series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software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series por USB o red; si no lo admite, número inicial y numeración propia de la máquina (confirmar)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de etiquetas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serie, 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ya prevista en etiquetado (T07 / C-15)</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el navegador: Zebra Browser Print o PDF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 mano DPM</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y los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industrial USB</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modo teclado: escribe en la pantalla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Celulares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remitos, instalación, consulta del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celular con cámara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abre una página web; no hay app que bajar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web con el número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(con GTIN) o dirección propia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trazabilidad-flama.vercel.app/m/26-005480</w:t>
            </w:r>
          </w:p>
        </w:tc>
      </w:tr>
    </w:tbl>
    <w:p>
      <w:pPr>
        <w:spacing w:after="120"/>
      </w:pPr>
    </w:p>
    <w:p>
      <w:pPr>
        <w:pStyle w:val="Heading2"/>
        <w:keepNext/>
        <w:spacing w:after="80" w:before="180" w:line="276"/>
      </w:pPr>
      <w:r>
        <w:rPr>
          <w:rFonts w:ascii="Arial" w:cs="Arial" w:eastAsia="Arial" w:hAnsi="Arial"/>
          <w:color w:val="000000"/>
          <w:sz w:val="19"/>
          <w:szCs w:val="19"/>
        </w:rPr>
        <w:t xml:space="preserve">7.1 Cómo se alimenta de los Excel y asigna las series por lote</w:t>
      </w:r>
    </w:p>
    <w:p>
      <w:pPr>
        <w:pStyle w:val="ListParagraph"/>
        <w:numPr>
          <w:ilvl w:val="0"/>
          <w:numId w:val="2"/>
        </w:numPr>
        <w:spacing w:after="40" w:before="0" w:line="276"/>
      </w:pPr>
      <w:r>
        <w:rPr>
          <w:rFonts w:ascii="Arial" w:cs="Arial" w:eastAsia="Arial" w:hAnsi="Arial"/>
          <w:color w:val="000000"/>
          <w:sz w:val="19"/>
          <w:szCs w:val="19"/>
        </w:rPr>
        <w:t xml:space="preserve">Cada lunes PCP abre «Nueva orden»: la app lee del Plan mensual (hoja de Aprovechamiento, columna del mes) cuántos equipos de cada modelo hay que fabricar.</w:t>
      </w:r>
    </w:p>
    <w:p>
      <w:pPr>
        <w:pStyle w:val="ListParagraph"/>
        <w:numPr>
          <w:ilvl w:val="0"/>
          <w:numId w:val="2"/>
        </w:numPr>
        <w:spacing w:after="40" w:before="0" w:line="276"/>
      </w:pPr>
      <w:r>
        <w:rPr>
          <w:rFonts w:ascii="Arial" w:cs="Arial" w:eastAsia="Arial" w:hAnsi="Arial"/>
          <w:color w:val="000000"/>
          <w:sz w:val="19"/>
          <w:szCs w:val="19"/>
        </w:rPr>
        <w:t xml:space="preserve">Propone lotes del tamaño del carro de ese modelo (PCP puede cambiarlos) y reserva para cada lote un rango correlativo de series: OP 26-10-08, 26-005480 a 26-005527 (Plan mensual de octubre).</w:t>
      </w:r>
    </w:p>
    <w:p>
      <w:pPr>
        <w:pStyle w:val="ListParagraph"/>
        <w:numPr>
          <w:ilvl w:val="0"/>
          <w:numId w:val="2"/>
        </w:numPr>
        <w:spacing w:after="40" w:before="0" w:line="276"/>
      </w:pPr>
      <w:r>
        <w:rPr>
          <w:rFonts w:ascii="Arial" w:cs="Arial" w:eastAsia="Arial" w:hAnsi="Arial"/>
          <w:color w:val="000000"/>
          <w:sz w:val="19"/>
          <w:szCs w:val="19"/>
        </w:rPr>
        <w:t xml:space="preserve">Genera el archivo para la Pannier y la hoja de ruta con las 48 series impresas.</w:t>
      </w:r>
    </w:p>
    <w:p>
      <w:pPr>
        <w:pStyle w:val="ListParagraph"/>
        <w:numPr>
          <w:ilvl w:val="0"/>
          <w:numId w:val="2"/>
        </w:numPr>
        <w:spacing w:after="40" w:before="0" w:line="276"/>
      </w:pPr>
      <w:r>
        <w:rPr>
          <w:rFonts w:ascii="Arial" w:cs="Arial" w:eastAsia="Arial" w:hAnsi="Arial"/>
          <w:color w:val="000000"/>
          <w:sz w:val="19"/>
          <w:szCs w:val="19"/>
        </w:rPr>
        <w:t xml:space="preserve">Las series ya pertenecen al lote: cuando el etiquetado lee 26-005480, el sistema sabe su lote, su chapa y todo lo que la hoja registró para ese lote. Así se asigna «por lote» sin cargar nada por equipo.</w:t>
      </w:r>
    </w:p>
    <w:p>
      <w:pPr>
        <w:pStyle w:val="ListParagraph"/>
        <w:numPr>
          <w:ilvl w:val="0"/>
          <w:numId w:val="2"/>
        </w:numPr>
        <w:spacing w:after="40" w:before="0" w:line="276"/>
      </w:pPr>
      <w:r>
        <w:rPr>
          <w:rFonts w:ascii="Arial" w:cs="Arial" w:eastAsia="Arial" w:hAnsi="Arial"/>
          <w:color w:val="000000"/>
          <w:sz w:val="19"/>
          <w:szCs w:val="19"/>
        </w:rPr>
        <w:t xml:space="preserve">Cuando calidad cierra la hoja, lo que se registró en papel pasa al lote y los rechazos quedan como eventos de su serie.</w:t>
      </w:r>
    </w:p>
    <w:p>
      <w:pPr>
        <w:pStyle w:val="Heading2"/>
        <w:keepNext/>
        <w:spacing w:after="80" w:before="180" w:line="276"/>
      </w:pPr>
      <w:r>
        <w:rPr>
          <w:rFonts w:ascii="Arial" w:cs="Arial" w:eastAsia="Arial" w:hAnsi="Arial"/>
          <w:color w:val="000000"/>
          <w:sz w:val="19"/>
          <w:szCs w:val="19"/>
        </w:rPr>
        <w:t xml:space="preserve">7.2 Si algo falla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Falla</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sigue; la pantalla de etiquetado guarda las lecturas y las manda al volver la conexión (criterio: modo sin conexión de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el lector</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grabado; queda marcado como lectura manual</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la impresora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Etiquetas en espera; el lote no sale hasta imprimirlas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Error en la hoja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borra: se corrige con un evento nuevo que dice quién y por qué</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app</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Copia diaria en Sheets; los lotes en curso siguen en papel</w:t>
            </w:r>
          </w:p>
        </w:tc>
      </w:tr>
    </w:tbl>
    <w:p>
      <w:pPr>
        <w:spacing w:after="120"/>
      </w:pPr>
    </w:p>
    <w:p>
      <w:pPr>
        <w:pStyle w:val="Heading1"/>
        <w:keepNext/>
        <w:spacing w:after="120" w:before="240" w:line="276"/>
      </w:pPr>
      <w:r>
        <w:rPr>
          <w:rFonts w:ascii="Arial" w:cs="Arial" w:eastAsia="Arial" w:hAnsi="Arial"/>
          <w:color w:val="000000"/>
          <w:sz w:val="19"/>
          <w:szCs w:val="19"/>
        </w:rPr>
        <w:t xml:space="preserve">8. Interfaz y hardware</w:t>
      </w:r>
    </w:p>
    <w:p>
      <w:pPr>
        <w:keepNext/>
        <w:spacing w:after="60"/>
        <w:jc w:val="center"/>
      </w:pPr>
      <w:r>
        <w:drawing>
          <wp:inline distT="0" distB="0" distL="0" distR="0">
            <wp:extent cx="5943600" cy="4124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Órdenes del sistema con el Plan mensual de octubre de 2026.</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1398"/>
        <w:gridCol w:w="2098"/>
        <w:gridCol w:w="3263"/>
        <w:gridCol w:w="1632"/>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Pantalla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y con qué</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 oficina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Plan mensual, propone lotes, reserva series, imprime hoja y archivo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minutos por semana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hoja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y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lote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e imprime; bloquea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s por equipo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misma PC y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Cajas → pallet → remito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lectura por caja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salida y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entrega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foto, acta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equipo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aplica reglas, imprime etiqueta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público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y técnica con la historia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(sección 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Hardware nuevo:</w:t>
      </w:r>
      <w:r>
        <w:rPr>
          <w:rFonts w:ascii="Arial" w:cs="Arial" w:eastAsia="Arial" w:hAnsi="Arial"/>
          <w:color w:val="000000"/>
          <w:sz w:val="19"/>
          <w:szCs w:val="19"/>
        </w:rPr>
        <w:t xml:space="preserve"> solo lectores de mano para marcas directas (uno en etiquetado de manuales, uno en carros y despacho, uno en recargas; a cotizar). Lo demás ya está previsto en el layout: impresoras de etiquetas en etiquetado (T07 y C-15), tablet e impresora en la recepción de recargas, PC e impresora en PCP, y los celulares de supervisores y choferes.</w:t>
      </w:r>
    </w:p>
    <w:p>
      <w:pPr>
        <w:pStyle w:val="Heading1"/>
        <w:keepNext/>
        <w:spacing w:after="120" w:before="240" w:line="276"/>
      </w:pPr>
      <w:r>
        <w:rPr>
          <w:rFonts w:ascii="Arial" w:cs="Arial" w:eastAsia="Arial" w:hAnsi="Arial"/>
          <w:color w:val="000000"/>
          <w:sz w:val="19"/>
          <w:szCs w:val="19"/>
        </w:rPr>
        <w:t xml:space="preserve">9. Transparencia: quién ve qué y cómo se controla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4429"/>
        <w:gridCol w:w="3379"/>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c>
          <w:tcPr>
            <w:tcW w:type="dxa" w:w="33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puede hacer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(QR)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vigencia, vencimientos, historia en lenguaje simple</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servicio, registrar ubicación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Inspector DPS / AGC</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 fabricación, PH, servicios, custodia, hash</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habilitado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cargar servicios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 remitos y equipos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recepción, venta,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operación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lo de su puesto</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calidad y dirección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incluidos lotes, operarios y parámetros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con un evento nuevo</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2"/>
        <w:gridCol w:w="5244"/>
      </w:tblGrid>
      <w:tr>
        <w:trPr>
          <w:cantSplit/>
          <w:tblHeader/>
        </w:trPr>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por lote (aptos / grabados)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lote − rechazos</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puesto, soldador, lote de chapa o insumo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la hoja</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de ciclo del lote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orden → etiquetado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cada custodia</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traspaso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del mes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los equipos en servicio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Numeración sin huecos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serie está fabricada, anulada o dada de baja</w:t>
            </w:r>
          </w:p>
        </w:tc>
      </w:tr>
    </w:tbl>
    <w:p>
      <w:pPr>
        <w:spacing w:after="120"/>
      </w:pPr>
    </w:p>
    <w:p>
      <w:pPr>
        <w:spacing w:after="100" w:before="0" w:line="276"/>
      </w:pPr>
      <w:r>
        <w:rPr>
          <w:rFonts w:ascii="Arial" w:cs="Arial" w:eastAsia="Arial" w:hAnsi="Arial"/>
          <w:color w:val="000000"/>
          <w:sz w:val="19"/>
          <w:szCs w:val="19"/>
        </w:rPr>
        <w:t xml:space="preserve">Nada se borra: cada corrección es un evento nuevo con autor y motivo, y cada evento guarda el hash del anterior (modelo de eventos de </w:t>
      </w:r>
      <w:hyperlink w:history="1" r:id="rIdn1smfiyxypbuyt_etzhc1">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Los registros se conservan al menos 6 años (IRAM 3517-2 9.4.16).</w:t>
      </w:r>
    </w:p>
    <w:p>
      <w:pPr>
        <w:pStyle w:val="Heading1"/>
        <w:keepNext/>
        <w:spacing w:after="120" w:before="240" w:line="276"/>
      </w:pPr>
      <w:r>
        <w:rPr>
          <w:rFonts w:ascii="Arial" w:cs="Arial" w:eastAsia="Arial" w:hAnsi="Arial"/>
          <w:color w:val="000000"/>
          <w:sz w:val="19"/>
          <w:szCs w:val="19"/>
        </w:rPr>
        <w:t xml:space="preserve">10.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grabado; confirmar con Pannier y DTMAQ (archivo de series, DataMatrix); DPS (cuño en 1 kg y carros); cantidad exenta UN 1044 en la Res. 195/97 vigente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órdenes desde el Plan mensual, hoja de ruta, archivo de marcado, etiquetado con bloqueo, QR público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con pallets, remito con QR, confirmación de recepción, instalación,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 ficha rev. n+1, sustitutos, llamado a revisión, tablero</w:t>
            </w:r>
          </w:p>
        </w:tc>
      </w:tr>
    </w:tbl>
    <w:p>
      <w:pPr>
        <w:spacing w:after="120"/>
      </w:pPr>
    </w:p>
    <w:p>
      <w:pPr>
        <w:pStyle w:val="ListParagraph"/>
        <w:numPr>
          <w:ilvl w:val="0"/>
          <w:numId w:val="2"/>
        </w:numPr>
        <w:spacing w:after="40" w:before="0" w:line="276"/>
      </w:pPr>
      <w:r>
        <w:rPr>
          <w:rFonts w:ascii="Arial" w:cs="Arial" w:eastAsia="Arial" w:hAnsi="Arial"/>
          <w:color w:val="000000"/>
          <w:sz w:val="19"/>
          <w:szCs w:val="19"/>
        </w:rPr>
        <w:t xml:space="preserve">Profundidades (hoy criterio): ensayo.</w:t>
      </w:r>
    </w:p>
    <w:p>
      <w:pPr>
        <w:pStyle w:val="ListParagraph"/>
        <w:numPr>
          <w:ilvl w:val="0"/>
          <w:numId w:val="2"/>
        </w:numPr>
        <w:spacing w:after="40" w:before="0" w:line="276"/>
      </w:pPr>
      <w:r>
        <w:rPr>
          <w:rFonts w:ascii="Arial" w:cs="Arial" w:eastAsia="Arial" w:hAnsi="Arial"/>
          <w:color w:val="000000"/>
          <w:sz w:val="19"/>
          <w:szCs w:val="19"/>
        </w:rPr>
        <w:t xml:space="preserve">Pannier: ¿importa archivo de series o numera desde un valor inicial?</w:t>
      </w:r>
    </w:p>
    <w:p>
      <w:pPr>
        <w:pStyle w:val="ListParagraph"/>
        <w:numPr>
          <w:ilvl w:val="0"/>
          <w:numId w:val="2"/>
        </w:numPr>
        <w:spacing w:after="40" w:before="0" w:line="276"/>
      </w:pPr>
      <w:r>
        <w:rPr>
          <w:rFonts w:ascii="Arial" w:cs="Arial" w:eastAsia="Arial" w:hAnsi="Arial"/>
          <w:color w:val="000000"/>
          <w:sz w:val="19"/>
          <w:szCs w:val="19"/>
        </w:rPr>
        <w:t xml:space="preserve">DTMAQ: DataMatrix y tamaño de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Cantidad exenta UN 1044 y requisitos de transporte vigentes.</w:t>
      </w:r>
    </w:p>
    <w:p>
      <w:pPr>
        <w:pStyle w:val="ListParagraph"/>
        <w:numPr>
          <w:ilvl w:val="0"/>
          <w:numId w:val="2"/>
        </w:numPr>
        <w:spacing w:after="40" w:before="0" w:line="276"/>
      </w:pPr>
      <w:r>
        <w:rPr>
          <w:rFonts w:ascii="Arial" w:cs="Arial" w:eastAsia="Arial" w:hAnsi="Arial"/>
          <w:color w:val="000000"/>
          <w:sz w:val="19"/>
          <w:szCs w:val="19"/>
        </w:rPr>
        <w:t xml:space="preserve">Umbrales vigentes del COT.</w:t>
      </w:r>
    </w:p>
    <w:p>
      <w:pPr>
        <w:pStyle w:val="Heading1"/>
        <w:keepNext/>
        <w:spacing w:after="120" w:before="240" w:line="276"/>
      </w:pPr>
      <w:r>
        <w:rPr>
          <w:rFonts w:ascii="Arial" w:cs="Arial" w:eastAsia="Arial" w:hAnsi="Arial"/>
          <w:color w:val="000000"/>
          <w:sz w:val="19"/>
          <w:szCs w:val="19"/>
        </w:rPr>
        <w:t xml:space="preserve">11. Sistema de gestión</w:t>
      </w:r>
    </w:p>
    <w:p>
      <w:pPr>
        <w:spacing w:after="100" w:before="0" w:line="276"/>
      </w:pPr>
      <w:r>
        <w:rPr>
          <w:rFonts w:ascii="Arial" w:cs="Arial" w:eastAsia="Arial" w:hAnsi="Arial"/>
          <w:color w:val="000000"/>
          <w:sz w:val="19"/>
          <w:szCs w:val="19"/>
        </w:rPr>
        <w:t xml:space="preserve">El sistema es la herramienta interna de FLAMA: sin portada ni textos de proceso, solo los módulos con los que se trabaja. Todo lo que muestra es real: lo que sale de los archivos del proyecto (Plan mensual de Aprovechamiento_Manuales y _Carros con las órdenes y series del año, capacidad y aprovechamiento por puesto, plan de Aprovechamiento_Recargas, política de stock y consumos del FLAMA_MRP, modelos del FLAMA_BOM, pallets y camiones de palletizado_PT, reparto por zona del Indexado Dim Técnico y tasas del Balanceo de materiales) y lo que cargan quienes operan. Nada se simula: firmas, lotes de insumo, rechazos, pesadas, ensayos, controles de medición, identificación, clientes, remitos, instalaciones, recargas, reclamos y desvíos arrancan vacíos y se registran con formularios; cada registro queda como evento con su hash. Se publica en Vercel (https://trazabilidad-flama.vercel.app) y el QR de cada equipo abre https://trazabilidad-flama.vercel.app/m/&lt;serie&gt;, la única página pública.</w:t>
      </w:r>
    </w:p>
    <w:p>
      <w:pPr>
        <w:pStyle w:val="Heading2"/>
        <w:keepNext/>
        <w:spacing w:after="80" w:before="180" w:line="276"/>
      </w:pPr>
      <w:r>
        <w:rPr>
          <w:rFonts w:ascii="Arial" w:cs="Arial" w:eastAsia="Arial" w:hAnsi="Arial"/>
          <w:color w:val="000000"/>
          <w:sz w:val="19"/>
          <w:szCs w:val="19"/>
        </w:rPr>
        <w:t xml:space="preserve">11.1 Módulos</w:t>
      </w:r>
    </w:p>
    <w:p>
      <w:pPr>
        <w:spacing w:after="100" w:before="0" w:line="276"/>
      </w:pPr>
      <w:r>
        <w:rPr>
          <w:rFonts w:ascii="Arial" w:cs="Arial" w:eastAsia="Arial" w:hAnsi="Arial"/>
          <w:color w:val="000000"/>
          <w:sz w:val="19"/>
          <w:szCs w:val="19"/>
        </w:rPr>
        <w:t xml:space="preserve">El menú sigue la trazabilidad: lo que pasa dentro de la planta (orden, lote, puesto, ensayo, etiqueta) y lo que pasa afuera (remito, transportista, distribuidor, instalación, recarga). Cada orden y cada serie tienen su propia página con dirección fija (#lote-26-10-08, #equipo-26-005480) para abrirlas desde un link o un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865"/>
        <w:gridCol w:w="2214"/>
        <w:gridCol w:w="4429"/>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Grupo</w:t>
            </w:r>
          </w:p>
        </w:tc>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Módulo</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lo usa</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técnicos en dos pestañas: intraplanta y extraplanta (11.2 y 11.3)</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producción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 órdenes por etapa, partida DPS; liberar, avanzar y cerrar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Historial de lotes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órdenes del año con filtros y exportación CSV; cada una abre su página de lote (11.4)</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y ensayos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responsable técnico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lotes (bloqueado si el contraste del manómetro venció), equipos de medición, rechazos por causa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etiqueta con QR y estampilla DPS; bloquea rechazos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Expedición</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PT, remitos con transportista, patente y COT; salida y recepción confirmadas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Instalaciones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Instaladores, distribuidores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Alta del equipo en el usuario: ubicación, altura (IRAM 3517-2), cartel y tarjeta DPS o SGM</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matafuego y cilindro del año con estado y custodia; abre su página de equipo (11.5)</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Plantas de recargas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de servicio por etapa, presupuesto, sustituto, PH, inutilización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y clientes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con plazos, traza del equipo, clientes y sus equipos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y retiros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PCP</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Búsqueda hacia atrás y hacia adelante; retiro preventivo con avance de ubicados</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Desvíos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de desvíos con causa, acción y verificación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Compras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125 materiales del MRP con stock, consumo, cobertura y plazo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de eventos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Responsable técnico, auditoría</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eventos encadenados con SHA-256 y botón para verificar la cadena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Reportes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responsable técnico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 archivo batch del SGM, vencimientos, producción</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Gantt de estadios, tiempo medio y lotes retenidos (11.6)</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y plan de control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de proceso con O calculada, plan de control DOC-02 / DOC-01 (11.7)</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Extraplanta</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Estados del equipo · AMFE de campo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expedición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Traspasos del equipo; modos de falla en campo (11.6, 11.7)</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Origen de los datos</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Cómo se mide y cómo llega cada dato (11.8)</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Gestión</w:t>
            </w:r>
          </w:p>
        </w:tc>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Configuración</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Administración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Modelos del BOM, reglas de desvío, normas aplicadas, integraciones y permisos por rol</w:t>
            </w:r>
          </w:p>
        </w:tc>
      </w:tr>
    </w:tbl>
    <w:p>
      <w:pPr>
        <w:spacing w:after="120"/>
      </w:pPr>
    </w:p>
    <w:p>
      <w:pPr>
        <w:pStyle w:val="Heading2"/>
        <w:keepNext/>
        <w:spacing w:after="80" w:before="180" w:line="276"/>
      </w:pPr>
      <w:r>
        <w:rPr>
          <w:rFonts w:ascii="Arial" w:cs="Arial" w:eastAsia="Arial" w:hAnsi="Arial"/>
          <w:color w:val="000000"/>
          <w:sz w:val="19"/>
          <w:szCs w:val="19"/>
        </w:rPr>
        <w:t xml:space="preserve">11.2 Tablero de trazabilidad intraplanta</w:t>
      </w:r>
    </w:p>
    <w:p>
      <w:pPr>
        <w:spacing w:after="100" w:before="0" w:line="276"/>
      </w:pPr>
      <w:r>
        <w:rPr>
          <w:rFonts w:ascii="Arial" w:cs="Arial" w:eastAsia="Arial" w:hAnsi="Arial"/>
          <w:color w:val="000000"/>
          <w:sz w:val="19"/>
          <w:szCs w:val="19"/>
        </w:rPr>
        <w:t xml:space="preserve">Arriba, lo que ya se sabe del mes por los archivos del proyecto: el plan, las series reservadas, el cuello de botella de cada línea y los pallets a despachar. Debajo, la ejecución: se completa a medida que se registran las etapas, los cierres y las lecturas; mientras no hay registros el panel lo dice.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3613"/>
        <w:gridCol w:w="2098"/>
        <w:gridCol w:w="209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calcula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Meta o límite</w:t>
            </w:r>
          </w:p>
        </w:tc>
        <w:tc>
          <w:tcPr>
            <w:tcW w:type="dxa" w:w="20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unidades de matafuegos y cilindros del mes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(Aprovechamiento_*)</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reservadas y partidas DPS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rango correlativo del año; partidas de 100 u o más por modelo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100 u</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Res. 349/07 art. 21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Aprovechamiento por puesto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tipo × demanda / horas disponibles, por puesto y año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90 % (umbral del proyecto)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Resumen cap. de Aprovechamiento_Manuales y _Carros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Pallets y camiones del mes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 equipos por pallet o furgón, por modelo; camión de 14 pallets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palletizado_PT</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liberadas, a depósito PT</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con etapas registradas; series identificadas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a la primera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 rechazos / unidades de los lotes cerrados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Cpk y carta I de carga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pesadas registradas; min(LSE − x̄ ; x̄ − LIE) / 3σ con n ≥ 5; límites x̄ ± 2,66 · MR̄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1,33 (criterio)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banda de carga del FLAMA_BOM</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p de fallas en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PH por lote de 20 u o más; LCS = p̄ + 3 √(p̄(1 − p̄)/n)</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LCS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Medición con control vigente</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contraste o calibración registrado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días el manómetro de PH</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20</w:t>
            </w:r>
          </w:p>
        </w:tc>
      </w:tr>
    </w:tbl>
    <w:p>
      <w:pPr>
        <w:spacing w:after="120"/>
      </w:pPr>
    </w:p>
    <w:p>
      <w:pPr>
        <w:keepNext/>
        <w:spacing w:after="60"/>
        <w:jc w:val="center"/>
      </w:pPr>
      <w:r>
        <w:drawing>
          <wp:inline distT="0" distB="0" distL="0" distR="0">
            <wp:extent cx="5943600" cy="4124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Tablero intraplanta: plan, series, aprovechamiento por puesto de las dos líneas y, debajo, la ejecución registrada.</w:t>
      </w:r>
    </w:p>
    <w:p>
      <w:pPr>
        <w:pStyle w:val="Heading2"/>
        <w:keepNext/>
        <w:spacing w:after="80" w:before="180" w:line="276"/>
      </w:pPr>
      <w:r>
        <w:rPr>
          <w:rFonts w:ascii="Arial" w:cs="Arial" w:eastAsia="Arial" w:hAnsi="Arial"/>
          <w:color w:val="000000"/>
          <w:sz w:val="19"/>
          <w:szCs w:val="19"/>
        </w:rPr>
        <w:t xml:space="preserve">11.3 Tablero de trazabilidad extraplanta</w:t>
      </w:r>
    </w:p>
    <w:p>
      <w:pPr>
        <w:spacing w:after="100" w:before="0" w:line="276"/>
      </w:pPr>
      <w:r>
        <w:rPr>
          <w:rFonts w:ascii="Arial" w:cs="Arial" w:eastAsia="Arial" w:hAnsi="Arial"/>
          <w:color w:val="000000"/>
          <w:sz w:val="19"/>
          <w:szCs w:val="19"/>
        </w:rPr>
        <w:t xml:space="preserve">Del proyecto: el plan de despacho del mes, el plan de recargas y el reparto del mercado por zona. Registrado: remitos, salidas, recepciones, instalaciones, recargas, reclamos y retiros.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3613"/>
        <w:gridCol w:w="2098"/>
        <w:gridCol w:w="209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calcula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Meta o límite</w:t>
            </w:r>
          </w:p>
        </w:tc>
        <w:tc>
          <w:tcPr>
            <w:tcW w:type="dxa" w:w="20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planificado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pallets y furgones del plan del mes; camiones Sider de 14 pallets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palletizado_PT</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del plan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recipientes por agente de las dos plantas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Aprovechamiento_Recargas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Mercado por zona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de recargas y de unidades nuevas revendidas por zona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MRP_MP › Indexado Dim Técnico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 / sin confirmar</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remitos con salida leída y sin recepción; más de 48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 h (criterio)</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Salida → recepción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promedio de las recepciones registradas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Cadena de custodia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por tenedor según el último traspaso registrado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+ 1 año (mantenimiento) y + 5 años (PH)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anual</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9.2.1 y anexo 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en plazo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dentro de su plazo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12.1</w:t>
            </w:r>
          </w:p>
        </w:tc>
        <w:tc>
          <w:tcPr>
            <w:tcW w:type="dxa" w:w="20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r>
    </w:tbl>
    <w:p>
      <w:pPr>
        <w:spacing w:after="120"/>
      </w:pPr>
    </w:p>
    <w:p>
      <w:pPr>
        <w:keepNext/>
        <w:spacing w:after="60"/>
        <w:jc w:val="center"/>
      </w:pPr>
      <w:r>
        <w:drawing>
          <wp:inline distT="0" distB="0" distL="0" distR="0">
            <wp:extent cx="5943600" cy="4124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Tablero extraplanta: despacho y recargas del plan, mercado por zona y lo registrado.</w:t>
      </w:r>
    </w:p>
    <w:p>
      <w:pPr>
        <w:pStyle w:val="Heading2"/>
        <w:keepNext/>
        <w:spacing w:after="80" w:before="180" w:line="276"/>
      </w:pPr>
      <w:r>
        <w:rPr>
          <w:rFonts w:ascii="Arial" w:cs="Arial" w:eastAsia="Arial" w:hAnsi="Arial"/>
          <w:color w:val="000000"/>
          <w:sz w:val="19"/>
          <w:szCs w:val="19"/>
        </w:rPr>
        <w:t xml:space="preserve">11.4 Cómo se registra cada lote</w:t>
      </w:r>
    </w:p>
    <w:p>
      <w:pPr>
        <w:spacing w:after="100" w:before="0" w:line="276"/>
      </w:pPr>
      <w:r>
        <w:rPr>
          <w:rFonts w:ascii="Arial" w:cs="Arial" w:eastAsia="Arial" w:hAnsi="Arial"/>
          <w:color w:val="000000"/>
          <w:sz w:val="19"/>
          <w:szCs w:val="19"/>
        </w:rPr>
        <w:t xml:space="preserve">Cada orden del plan es un lote con su página. Se libera desde Órdenes; después cada etapa se registra con lo que dice la hoja de ruta firmada: quién hizo cada puesto y qué lote de insumo usó. Para cerrar, calidad carga los rechazos de la hoja (serie y ensayo), las pesadas, los ensayos de lote L1 a L5 y los controles de pintura; si algo no cumple el lote queda retenido. Sin contraste vigente del manómetro de PH el cierre está bloqueado.</w:t>
      </w:r>
    </w:p>
    <w:p>
      <w:pPr>
        <w:keepNext/>
        <w:spacing w:after="60"/>
        <w:jc w:val="center"/>
      </w:pPr>
      <w:r>
        <w:drawing>
          <wp:inline distT="0" distB="0" distL="0" distR="0">
            <wp:extent cx="5943600" cy="4124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Órdenes del mes del Plan mensual con su serie, partida DPS y etapa.</w:t>
      </w:r>
    </w:p>
    <w:p>
      <w:pPr>
        <w:keepNext/>
        <w:spacing w:after="60"/>
        <w:jc w:val="center"/>
      </w:pPr>
      <w:r>
        <w:drawing>
          <wp:inline distT="0" distB="0" distL="0" distR="0">
            <wp:extent cx="5943600" cy="41243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Página del lote OP 26-10-08: series, partida, normas que aplica y botón para liberarlo.</w:t>
      </w:r>
    </w:p>
    <w:p>
      <w:pPr>
        <w:keepNext/>
        <w:spacing w:after="60"/>
        <w:jc w:val="center"/>
      </w:pPr>
      <w:r>
        <w:drawing>
          <wp:inline distT="0" distB="0" distL="0" distR="0">
            <wp:extent cx="5943600" cy="41243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Hoja de ruta del lote con los equipos de cada puesto (Aprovechamiento_*); se completa al registrar cada etapa.</w:t>
      </w:r>
    </w:p>
    <w:p>
      <w:pPr>
        <w:keepNext/>
        <w:spacing w:after="60"/>
        <w:jc w:val="center"/>
      </w:pPr>
      <w:r>
        <w:drawing>
          <wp:inline distT="0" distB="0" distL="0" distR="0">
            <wp:extent cx="5943600" cy="41243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Formulario de cierre: rechazos, pesadas, L1 a L5, pintura y visado.</w:t>
      </w:r>
    </w:p>
    <w:p>
      <w:pPr>
        <w:pStyle w:val="Heading2"/>
        <w:keepNext/>
        <w:spacing w:after="80" w:before="180" w:line="276"/>
      </w:pPr>
      <w:r>
        <w:rPr>
          <w:rFonts w:ascii="Arial" w:cs="Arial" w:eastAsia="Arial" w:hAnsi="Arial"/>
          <w:color w:val="000000"/>
          <w:sz w:val="19"/>
          <w:szCs w:val="19"/>
        </w:rPr>
        <w:t xml:space="preserve">11.5 Historial de cada matafuego y cilindro</w:t>
      </w:r>
    </w:p>
    <w:p>
      <w:pPr>
        <w:spacing w:after="100" w:before="0" w:line="276"/>
      </w:pPr>
      <w:r>
        <w:rPr>
          <w:rFonts w:ascii="Arial" w:cs="Arial" w:eastAsia="Arial" w:hAnsi="Arial"/>
          <w:color w:val="000000"/>
          <w:sz w:val="19"/>
          <w:szCs w:val="19"/>
        </w:rPr>
        <w:t xml:space="preserve">Cada serie tiene su página: identificación (grabado y QR), estado y vencimientos, hacia atrás (orden, partida, lotes de insumo y puestos registrados), ensayos de fábrica, cadena de custodia, instalación, servicios y reclamos, y el historial con los eventos de la serie, de su lote y de su remito. Los vencimientos se cuentan desde la identificación. Los cilindros se venden vacíos: no tienen carga, presurización ni control de pérdidas.</w:t>
      </w:r>
    </w:p>
    <w:p>
      <w:pPr>
        <w:keepNext/>
        <w:spacing w:after="60"/>
        <w:jc w:val="center"/>
      </w:pPr>
      <w:r>
        <w:drawing>
          <wp:inline distT="0" distB="0" distL="0" distR="0">
            <wp:extent cx="5943600" cy="41243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Página del matafuego 26-005480, del plan de octubre.</w:t>
      </w:r>
    </w:p>
    <w:p>
      <w:pPr>
        <w:keepNext/>
        <w:spacing w:after="60"/>
        <w:jc w:val="center"/>
      </w:pPr>
      <w:r>
        <w:drawing>
          <wp:inline distT="0" distB="0" distL="0" distR="0">
            <wp:extent cx="5943600" cy="41243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Expedición: depósito PT y remitos, con transportista, patente y COT cargados.</w:t>
      </w:r>
    </w:p>
    <w:p>
      <w:pPr>
        <w:keepNext/>
        <w:spacing w:after="60"/>
        <w:jc w:val="center"/>
      </w:pPr>
      <w:r>
        <w:drawing>
          <wp:inline distT="0" distB="0" distL="0" distR="0">
            <wp:extent cx="5943600" cy="4124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Instalaciones: alta del equipo en el usuario con su tarjeta oficial.</w:t>
      </w:r>
    </w:p>
    <w:p>
      <w:pPr>
        <w:keepNext/>
        <w:spacing w:after="60"/>
        <w:jc w:val="center"/>
      </w:pPr>
      <w:r>
        <w:drawing>
          <wp:inline distT="0" distB="0" distL="0" distR="0">
            <wp:extent cx="5943600" cy="41243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Recargas: plan del mes y órdenes de servicio registradas.</w:t>
      </w:r>
    </w:p>
    <w:p>
      <w:pPr>
        <w:keepNext/>
        <w:spacing w:after="60"/>
        <w:jc w:val="center"/>
      </w:pPr>
      <w:r>
        <w:drawing>
          <wp:inline distT="0" distB="0" distL="0" distR="0">
            <wp:extent cx="5943600" cy="41243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Clientes: alta de distribuidores y usuarios con los rubros del consolidado.</w:t>
      </w:r>
    </w:p>
    <w:p>
      <w:pPr>
        <w:keepNext/>
        <w:spacing w:after="60"/>
        <w:jc w:val="center"/>
      </w:pPr>
      <w:r>
        <w:drawing>
          <wp:inline distT="0" distB="0" distL="0" distR="0">
            <wp:extent cx="5943600" cy="41243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Insumos: los 125 materiales del MRP; el inventario se carga con cada ingreso.</w:t>
      </w:r>
    </w:p>
    <w:p>
      <w:pPr>
        <w:keepNext/>
        <w:spacing w:after="60"/>
        <w:jc w:val="center"/>
      </w:pPr>
      <w:r>
        <w:drawing>
          <wp:inline distT="0" distB="0" distL="0" distR="0">
            <wp:extent cx="5943600" cy="41243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Registro de eventos con la cadena SHA-256.</w:t>
      </w:r>
    </w:p>
    <w:p>
      <w:pPr>
        <w:keepNext/>
        <w:spacing w:after="60"/>
        <w:jc w:val="center"/>
      </w:pPr>
      <w:r>
        <w:drawing>
          <wp:inline distT="0" distB="0" distL="0" distR="0">
            <wp:extent cx="5943600" cy="41243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Reportes: libro de actas DPS y archivo para el SGM de la AGC.</w:t>
      </w:r>
    </w:p>
    <w:p>
      <w:pPr>
        <w:pStyle w:val="Heading2"/>
        <w:keepNext/>
        <w:spacing w:after="80" w:before="180" w:line="276"/>
      </w:pPr>
      <w:r>
        <w:rPr>
          <w:rFonts w:ascii="Arial" w:cs="Arial" w:eastAsia="Arial" w:hAnsi="Arial"/>
          <w:color w:val="000000"/>
          <w:sz w:val="19"/>
          <w:szCs w:val="19"/>
        </w:rPr>
        <w:t xml:space="preserve">11.6 Estados del lote y del equipo</w:t>
      </w:r>
    </w:p>
    <w:p>
      <w:pPr>
        <w:spacing w:after="100" w:before="0" w:line="276"/>
      </w:pPr>
      <w:r>
        <w:rPr>
          <w:rFonts w:ascii="Arial" w:cs="Arial" w:eastAsia="Arial" w:hAnsi="Arial"/>
          <w:color w:val="000000"/>
          <w:sz w:val="19"/>
          <w:szCs w:val="19"/>
        </w:rPr>
        <w:t xml:space="preserve">Un lote pasa por nueve estados. Cada cambio lo dispara un hecho que queda registrado (una firma en la hoja de ruta, el visado, una lectura del grabado o del remito), así que el sistema sabe cuándo entró y salió de cada uno: son los </w:t>
      </w:r>
      <w:r>
        <w:rPr>
          <w:rFonts w:ascii="Arial" w:cs="Arial" w:eastAsia="Arial" w:hAnsi="Arial"/>
          <w:b/>
          <w:bCs/>
          <w:color w:val="000000"/>
          <w:sz w:val="19"/>
          <w:szCs w:val="19"/>
        </w:rPr>
        <w:t xml:space="preserve">estadios</w:t>
      </w:r>
      <w:r>
        <w:rPr>
          <w:rFonts w:ascii="Arial" w:cs="Arial" w:eastAsia="Arial" w:hAnsi="Arial"/>
          <w:color w:val="000000"/>
          <w:sz w:val="19"/>
          <w:szCs w:val="19"/>
        </w:rPr>
        <w:t xml:space="preserve"> del lote. Con ellos arma la línea de tiempo de cada orden, el Gantt del mes y el tiempo medio por estado. Un lote para cerrar o para etiquetar queda </w:t>
      </w:r>
      <w:r>
        <w:rPr>
          <w:rFonts w:ascii="Arial" w:cs="Arial" w:eastAsia="Arial" w:hAnsi="Arial"/>
          <w:b/>
          <w:bCs/>
          <w:color w:val="000000"/>
          <w:sz w:val="19"/>
          <w:szCs w:val="19"/>
        </w:rPr>
        <w:t xml:space="preserve">retenido</w:t>
      </w:r>
      <w:r>
        <w:rPr>
          <w:rFonts w:ascii="Arial" w:cs="Arial" w:eastAsia="Arial" w:hAnsi="Arial"/>
          <w:color w:val="000000"/>
          <w:sz w:val="19"/>
          <w:szCs w:val="19"/>
        </w:rPr>
        <w:t xml:space="preserve"> si su manómetro de PH tiene el contraste vencido o si tiene un desvío abierto.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0"/>
        <w:gridCol w:w="1282"/>
        <w:gridCol w:w="1632"/>
        <w:gridCol w:w="1398"/>
        <w:gridCol w:w="2098"/>
        <w:gridCol w:w="1981"/>
        <w:gridCol w:w="1165"/>
      </w:tblGrid>
      <w:tr>
        <w:trPr>
          <w:cantSplit/>
          <w:tblHeader/>
        </w:trPr>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Entra cuando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Para salir</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medio</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Planificada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Plan mensual del Excel de Aprovechamiento trae la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 oficina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 al leer el Excel; series reservadas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la libera con la hoja de ruta impresa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Corte y grabado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libera la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 / C-2</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firma, lote de chapa y colada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Planchuelas grabadas con las series del lote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Armado y soldadura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el corte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4-12 / C-4, C-6</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Firmas, lotes de cúpulas y alambre; rechazos con su número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 con visual R2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y pintura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la soldadura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13-19 / C-8 a C-10</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de PH por serie; lote de pintura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(R3), secado (R4) y pintura (R5)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y armado final</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la pintura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20-23 / C-12 a C-14</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 de polvo y válvulas; pesadas; ✓ / ✗ de pérdidas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(R6), N₂ (R7) y pérdidas (R8)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cerrar</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 el control de pérdidas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firmada; rechazos marcados en la lista; ensayos de lote L1-L5</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Visado del RT; bloqueado si el contraste de PH venció o hay un desvío abierto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etiquetar</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cierra y el RT visa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evento IDENTIFICADO por serie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series aptas identificadas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y lee el pallet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 / C-16 · 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cajas → etiqueta SSCC</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el anexo de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Despachada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 el 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 · chofer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 leído por el chofer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Sigue en extraplanta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color w:val="000000"/>
          <w:sz w:val="19"/>
          <w:szCs w:val="19"/>
        </w:rPr>
        <w:t xml:space="preserve">Tiempo medio: de los cambios de etapa registrados; «—» mientras no hay registros.</w:t>
      </w:r>
    </w:p>
    <w:p>
      <w:pPr>
        <w:keepNext/>
        <w:spacing w:after="60"/>
        <w:jc w:val="center"/>
      </w:pPr>
      <w:r>
        <w:drawing>
          <wp:inline distT="0" distB="0" distL="0" distR="0">
            <wp:extent cx="5943600" cy="41243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lote: cantidad en cada estado y cómo se entra y se sale de cada uno; el Gantt de estadios se dibuja con los cambios de etapa registrados.</w:t>
      </w:r>
    </w:p>
    <w:p>
      <w:pPr>
        <w:spacing w:after="100" w:before="0" w:line="276"/>
      </w:pPr>
      <w:r>
        <w:rPr>
          <w:rFonts w:ascii="Arial" w:cs="Arial" w:eastAsia="Arial" w:hAnsi="Arial"/>
          <w:color w:val="000000"/>
          <w:sz w:val="19"/>
          <w:szCs w:val="19"/>
        </w:rPr>
        <w:t xml:space="preserve">Fuera de la planta, el estado es del </w:t>
      </w:r>
      <w:r>
        <w:rPr>
          <w:rFonts w:ascii="Arial" w:cs="Arial" w:eastAsia="Arial" w:hAnsi="Arial"/>
          <w:b/>
          <w:bCs/>
          <w:color w:val="000000"/>
          <w:sz w:val="19"/>
          <w:szCs w:val="19"/>
        </w:rPr>
        <w:t xml:space="preserve">equipo</w:t>
      </w:r>
      <w:r>
        <w:rPr>
          <w:rFonts w:ascii="Arial" w:cs="Arial" w:eastAsia="Arial" w:hAnsi="Arial"/>
          <w:color w:val="000000"/>
          <w:sz w:val="19"/>
          <w:szCs w:val="19"/>
        </w:rPr>
        <w:t xml:space="preserve"> y cambia con cada traspaso leído.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2914"/>
        <w:gridCol w:w="1748"/>
        <w:gridCol w:w="3496"/>
      </w:tblGrid>
      <w:tr>
        <w:trPr>
          <w:cantSplit/>
          <w:tblHeader/>
        </w:trPr>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Entra cuando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Custodia</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Planificado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está reservada en una orden del plan</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(Excel)</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producción</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está en un lote abierto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Para etiquetar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lote se cerró y visó</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Visado de calidad</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depósito PT</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leyó el grabado y se identificó</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DPM: IDENTIFICADO; pallet SSCC</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chofer leyó el QR del remito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(página web, sin app)</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distribuidor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distribuidor confirmó la recepción</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del remito: confirma, faltantes y daños con foto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instalador registró el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instalación: ubicación, alturas, tarjeta DPS o SGM</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Falló un ensayo de rutina</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en la lista del lote al cerrar; sale con su número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aprueba la revisión en recarga o cumplió 20 años</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con motivo (IRAM 3517-2 9.7.1.3); baja con acta</w:t>
            </w:r>
          </w:p>
        </w:tc>
      </w:tr>
    </w:tbl>
    <w:p>
      <w:pPr>
        <w:spacing w:after="120"/>
      </w:pPr>
    </w:p>
    <w:p>
      <w:pPr>
        <w:keepNext/>
        <w:spacing w:after="60"/>
        <w:jc w:val="center"/>
      </w:pPr>
      <w:r>
        <w:drawing>
          <wp:inline distT="0" distB="0" distL="0" distR="0">
            <wp:extent cx="5943600" cy="4124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equipo, de la orden de servicio y del reclamo.</w:t>
      </w:r>
    </w:p>
    <w:p>
      <w:pPr>
        <w:pStyle w:val="Heading2"/>
        <w:keepNext/>
        <w:spacing w:after="80" w:before="180" w:line="276"/>
      </w:pPr>
      <w:r>
        <w:rPr>
          <w:rFonts w:ascii="Arial" w:cs="Arial" w:eastAsia="Arial" w:hAnsi="Arial"/>
          <w:color w:val="000000"/>
          <w:sz w:val="19"/>
          <w:szCs w:val="19"/>
        </w:rPr>
        <w:t xml:space="preserve">11.7 Controles de calidad: AMFE y plan de control</w:t>
      </w:r>
    </w:p>
    <w:p>
      <w:pPr>
        <w:spacing w:after="100" w:before="0" w:line="276"/>
      </w:pPr>
      <w:r>
        <w:rPr>
          <w:rFonts w:ascii="Arial" w:cs="Arial" w:eastAsia="Arial" w:hAnsi="Arial"/>
          <w:color w:val="000000"/>
          <w:sz w:val="19"/>
          <w:szCs w:val="19"/>
        </w:rPr>
        <w:t xml:space="preserve">El AMFE (análisis de modo y efecto de falla) ordena qué puede fallar, qué tan grave es (S), qué tan seguido pasa (O) y qué tan probable es detectarlo antes de que llegue al usuario (D). Las escalas de 1 a 10 son una adaptación del manual AIAG FMEA 4.ª ed. </w:t>
      </w:r>
      <w:r>
        <w:rPr>
          <w:rFonts w:ascii="Arial" w:cs="Arial" w:eastAsia="Arial" w:hAnsi="Arial"/>
          <w:b/>
          <w:bCs/>
          <w:color w:val="000000"/>
          <w:sz w:val="19"/>
          <w:szCs w:val="19"/>
        </w:rPr>
        <w:t xml:space="preserve">S y D son criterio</w:t>
      </w:r>
      <w:r>
        <w:rPr>
          <w:rFonts w:ascii="Arial" w:cs="Arial" w:eastAsia="Arial" w:hAnsi="Arial"/>
          <w:color w:val="000000"/>
          <w:sz w:val="19"/>
          <w:szCs w:val="19"/>
        </w:rPr>
        <w:t xml:space="preserve"> del equipo de FLAMA. </w:t>
      </w:r>
      <w:r>
        <w:rPr>
          <w:rFonts w:ascii="Arial" w:cs="Arial" w:eastAsia="Arial" w:hAnsi="Arial"/>
          <w:b/>
          <w:bCs/>
          <w:color w:val="000000"/>
          <w:sz w:val="19"/>
          <w:szCs w:val="19"/>
        </w:rPr>
        <w:t xml:space="preserve">O sale de un dato</w:t>
      </w:r>
      <w:r>
        <w:rPr>
          <w:rFonts w:ascii="Arial" w:cs="Arial" w:eastAsia="Arial" w:hAnsi="Arial"/>
          <w:color w:val="000000"/>
          <w:sz w:val="19"/>
          <w:szCs w:val="19"/>
        </w:rPr>
        <w:t xml:space="preserve">: de los registros del sistema cuando los hay (rechazos por causa, remitos sin confirmar, recargas, reclamos, retiros); mientras no los hay, de la tasa del proyecto cuando existe (5 % que pasa por corrección de defectos en Aprovechamiento_Manuales, inutilizados sobre recibidos en recarga del Balanceo de materiales, rechazo en el ensayo Puffer estimado en MP_Abastecimiento); si no hay ninguno, la columna lo dice como criterio. Regla de acción (criterio): NPR = S × O × D ≥ 100, o S ≥ 9 con O ≥ 4.</w:t>
      </w:r>
    </w:p>
    <w:p>
      <w:pPr>
        <w:pStyle w:val="Heading3"/>
        <w:keepNext/>
        <w:spacing w:after="60" w:before="140" w:line="276"/>
      </w:pPr>
      <w:r>
        <w:rPr>
          <w:rFonts w:ascii="Arial" w:cs="Arial" w:eastAsia="Arial" w:hAnsi="Arial"/>
          <w:color w:val="000000"/>
          <w:sz w:val="19"/>
          <w:szCs w:val="19"/>
        </w:rPr>
        <w:t xml:space="preserve">AMFE de proceso (intraplanta)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83"/>
        <w:gridCol w:w="1282"/>
        <w:gridCol w:w="1398"/>
        <w:gridCol w:w="1398"/>
        <w:gridCol w:w="350"/>
        <w:gridCol w:w="350"/>
        <w:gridCol w:w="350"/>
        <w:gridCol w:w="524"/>
        <w:gridCol w:w="1748"/>
        <w:gridCol w:w="1923"/>
      </w:tblGrid>
      <w:tr>
        <w:trPr>
          <w:cantSplit/>
          <w:tblHeader/>
        </w:trPr>
        <w:tc>
          <w:tcPr>
            <w:tcW w:type="dxa" w:w="5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 operación</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Modo de falla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Efecto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w:t>
            </w:r>
          </w:p>
        </w:tc>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NPR</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19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 de 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8-12 / C-4 · Soldadura MAG</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en el cordón (poro, falta de penetración)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Fuga en PH; rotura en servicio si escapa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 el soldador por serie para cortar la causa</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 pasa por corrección de defectos (Aprovechamiento_Manuales, puesto 19)</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14-15 / C-9 · Secado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en el interior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polvo se apelmaza y el equipo no descarga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 de inspección interior, como en recarga (IRAM 3517-2 9.8.2)</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 · Carga de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de otro lote o sin certificado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fuera de especificación; traza equivocada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Leer el código del lote en la cargadora</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 C-13 · Presurización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N₂ fuera de la zona verde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incompleta; manómetro en rojo en el usuario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Verificar el regulador con el patrón al empezar cada turno</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 2 / C-2 · Chapa y corte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 bajo el nominal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recipiente no resiste la presión: rotura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el espesor también al iniciar cada orden</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C-16 · Embalaje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Golpe al armar o mover el pallet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Abolladura o pintura dañada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del pallet cerrado en el puesto 25</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 C-14 · Control de pérdidas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 por válvula o junta sin detectar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despresurizado en el usuario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presión a 24 h sobre una muestra de cada lote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 C-8 · Prueba hidráulica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a menos presión o menos de 60 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libera un recipiente defectuoso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Registrador de presión con salida a la base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bloqueo del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16-19 / C-10 · Pintura en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Película bajo 60 µm o mala adherencia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Corrosión prematura; menor vida útil</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 · Embutido de cúpulas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Bordón fuera de medida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Mal encastre y fuga en la soldadura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 · Carga de polvo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fuera de la banda de carga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y alcance menores (por defecto)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63</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C-2 · Grabado del número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Número ilegible, repetido o salteado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trazabilidad: el equipo no se puede recargar (IRAM 3517-2 anexo F)</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 C-15 · 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o estampilla de otra serie</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Datos equivocados en campo y en la tarjeta DPS</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bl>
    <w:p>
      <w:pPr>
        <w:spacing w:after="120"/>
      </w:pPr>
    </w:p>
    <w:p>
      <w:pPr>
        <w:pStyle w:val="Heading3"/>
        <w:keepNext/>
        <w:spacing w:after="60" w:before="140" w:line="276"/>
      </w:pPr>
      <w:r>
        <w:rPr>
          <w:rFonts w:ascii="Arial" w:cs="Arial" w:eastAsia="Arial" w:hAnsi="Arial"/>
          <w:color w:val="000000"/>
          <w:sz w:val="19"/>
          <w:szCs w:val="19"/>
        </w:rPr>
        <w:t xml:space="preserve">AMFE de campo (extraplanta)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83"/>
        <w:gridCol w:w="1049"/>
        <w:gridCol w:w="1515"/>
        <w:gridCol w:w="1515"/>
        <w:gridCol w:w="350"/>
        <w:gridCol w:w="350"/>
        <w:gridCol w:w="350"/>
        <w:gridCol w:w="524"/>
        <w:gridCol w:w="1748"/>
        <w:gridCol w:w="1922"/>
      </w:tblGrid>
      <w:tr>
        <w:trPr>
          <w:cantSplit/>
          <w:tblHeader/>
        </w:trPr>
        <w:tc>
          <w:tcPr>
            <w:tcW w:type="dxa" w:w="5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ID</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Etapa</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Modo de falla</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Efecto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w:t>
            </w:r>
          </w:p>
        </w:tc>
        <w:tc>
          <w:tcPr>
            <w:tcW w:type="dxa" w:w="35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w:t>
            </w:r>
          </w:p>
        </w:tc>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NPR</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192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 de O</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C-07</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no apto (corrosión, golpe, soldadura) que entra a 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si se recarga y vuelve al mercado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270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obligatoria del recipiente al recibirlo</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7,9 % inutilizados / recibidos en recarga (Balanceo_Materiales_y_Linea › Materiales)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C-06</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o apelmazado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incompleta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Indicar en el QR que no se guarde en lugares húmedos</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 rechazo en el ensayo Puffer (estimado del proyecto, MP_Abastecimiento › Coef Recargas)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C-05</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 de presión en el usuario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en rojo: el equipo no sirve hasta recargarlo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trimestral desde el QR para el control periódico</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C-10</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afectado que no se ubica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Queda en uso un equipo con un insumo defectuoso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la lectura del QR en cada venta del distribuidor</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C-01</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golpeado en tránsito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Abolladura en la cúpula; recipiente a revisar</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carga antes de salir</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C-04</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anual vencido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equipo puede no funcionar en un incendio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C-09</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 fuera de plazo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usuario sigue con un equipo dudoso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con vida útil vencida en uso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envejecido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C-02</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no confirmada en 48 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custodia queda abierta: traza incompleta</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C-08</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vencida sin detectar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sin reensayar en servicio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sistema</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C-11</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QR perdida o ilegible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demora la identificación del equipo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(sin registros)</w:t>
            </w:r>
          </w:p>
        </w:tc>
      </w:tr>
      <w:tr>
        <w:trPr>
          <w:cantSplit/>
        </w:trPr>
        <w:tc>
          <w:tcPr>
            <w:tcW w:type="dxa" w:w="5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C-03</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 o cartel fuera de IRAM 3517-2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usuario no alcanza o no ve el equipo</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35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2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prevenido por el formulario</w:t>
            </w:r>
          </w:p>
        </w:tc>
      </w:tr>
    </w:tbl>
    <w:p>
      <w:pPr>
        <w:spacing w:after="120"/>
      </w:pPr>
    </w:p>
    <w:p>
      <w:pPr>
        <w:keepNext/>
        <w:spacing w:after="60"/>
        <w:jc w:val="center"/>
      </w:pPr>
      <w:r>
        <w:drawing>
          <wp:inline distT="0" distB="0" distL="0" distR="0">
            <wp:extent cx="5943600" cy="4124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AMFE de proceso en el sistema: controles actuales, O calculada y acción.</w:t>
      </w:r>
    </w:p>
    <w:p>
      <w:pPr>
        <w:keepNext/>
        <w:spacing w:after="60"/>
        <w:jc w:val="center"/>
      </w:pPr>
      <w:r>
        <w:drawing>
          <wp:inline distT="0" distB="0" distL="0" distR="0">
            <wp:extent cx="5943600" cy="4124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AMFE de campo: transporte, instalación, uso, recarga, atención y retiros.</w:t>
      </w:r>
    </w:p>
    <w:p>
      <w:pPr>
        <w:pStyle w:val="Heading3"/>
        <w:keepNext/>
        <w:spacing w:after="60" w:before="140" w:line="276"/>
      </w:pPr>
      <w:r>
        <w:rPr>
          <w:rFonts w:ascii="Arial" w:cs="Arial" w:eastAsia="Arial" w:hAnsi="Arial"/>
          <w:color w:val="000000"/>
          <w:sz w:val="19"/>
          <w:szCs w:val="19"/>
        </w:rPr>
        <w:t xml:space="preserve">Plan de control</w:t>
      </w:r>
    </w:p>
    <w:p>
      <w:pPr>
        <w:spacing w:after="100" w:before="0" w:line="276"/>
      </w:pPr>
      <w:r>
        <w:rPr>
          <w:rFonts w:ascii="Arial" w:cs="Arial" w:eastAsia="Arial" w:hAnsi="Arial"/>
          <w:color w:val="000000"/>
          <w:sz w:val="19"/>
          <w:szCs w:val="19"/>
        </w:rPr>
        <w:t xml:space="preserve">Sale de DOC-02 (ensayos R1 a R9 al 100 % y L1 a L5 por lote) y de DOC-01 (pintura). Para cada control dice cómo llega al sistema y qué se hace si falla. En el sistema, cada fila muestra además el estado del instrumento y el resultado del mes; la página de cada lote tiene la pestaña «Ensayos de lote» con L1 a L5 y la pintura.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4"/>
        <w:gridCol w:w="1165"/>
        <w:gridCol w:w="1398"/>
        <w:gridCol w:w="1632"/>
        <w:gridCol w:w="1340"/>
        <w:gridCol w:w="874"/>
        <w:gridCol w:w="1457"/>
        <w:gridCol w:w="1516"/>
      </w:tblGrid>
      <w:tr>
        <w:trPr>
          <w:cantSplit/>
          <w:tblHeader/>
        </w:trPr>
        <w:tc>
          <w:tcPr>
            <w:tcW w:type="dxa" w:w="5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Característica</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Especificación</w:t>
            </w:r>
          </w:p>
        </w:tc>
        <w:tc>
          <w:tcPr>
            <w:tcW w:type="dxa" w:w="13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Método (instrumento)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Muestra</w:t>
            </w:r>
          </w:p>
        </w:tc>
        <w:tc>
          <w:tcPr>
            <w:tcW w:type="dxa" w:w="14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Reacción</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R1</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 2</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nominal del plano FL_REC (0,9 a 4,75 mm)</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de colada + medidor de espesores (ESP-1)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bobina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en Insumos: colada y espesor medido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retenida, aviso a compras y RD</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8-12 / C-4</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sin fisuras, poros abiertos ni falta de penetración</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Visual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del soldador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Reparar según la WPS o rechazar; RD si se repite en el turno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 C-8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 1 min, sin caída ni deformación</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con manómetro contrastado (PH-M1, PH-M2)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por serie en la hoja; rechazos al cierre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sale del lote con su número; 2 seguidas: revisar soldadura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14-15 / C-9</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Interior seco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condensación (IRAM 3517-2 4.3.3.4)</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Visual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Volver al horno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16-19 / C-10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espesor, adherencia y curado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 a 100 µm, ningún punto &lt; 80 % · ISO 2409 clase 0 ó 1 · MEK sin ablandamiento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Medidor de película (ISO 2808), cuadriculado, frote MEK (EP-1)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MEK por turno</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lecturas y clase de adherencia al cerrar el lote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Repintar el lote</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R6</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20-21 / C-13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 / +100 g · 5 y 10 kg: 0 / +300 g · rodantes +3 %</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calibrada (B-1, B-2)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pesadas de la balanza o valor en la hoja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la carga; carta fuera de control: RD</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R7</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 C-13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servicio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1,4 MPa a 20 °C; aguja en zona verde</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del equipo verificado con el patrón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en la hoja de ruta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Ajustar el regulador y repetir</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 C-14</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Estanqueidad</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burbujas en inmersión; presión estable a las 24 h (criterio)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Cuba de inmersión</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por serie</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Cambiar la junta o la válvula y repetir</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 C-15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final y marcado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serie, sello IRAM, fecha, precinto y seguro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 impresora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evento IDENTIFICADO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u otro lote: la pantalla bloquea</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L1</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(destructivo)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 Pe; rotura dúctil, sin fragmentar, fuera de la costura del cuello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Presurizar con agua hasta romper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 o turno de soldadura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 por partida, visada por el RT</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RD y reensayo de 2 muestras (criterio)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Expansión volumétrica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Permanente ≤ 10 % de la total</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Camisa de agua a Pe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Descarga y alcance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Manuales ≥ 8 s y ≥ 85 %; 25 kg ≥ 10 s; 50 / 70 kg ≥ 15 s; 100 kg ≥ 30 s; alcance de catálogo</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de descarga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por lote</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revisar carga y válvula</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IRAM 3569 del lote; humedad y fluidez</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 del certificado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de polvo</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lote y certificado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retenido</w:t>
            </w:r>
          </w:p>
        </w:tc>
      </w:tr>
      <w:tr>
        <w:trPr>
          <w:cantSplit/>
        </w:trPr>
        <w:tc>
          <w:tcPr>
            <w:tcW w:type="dxa" w:w="5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Manómetros y válvulas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Certificado IRAM 3533; válvula probada a Pe</w:t>
            </w:r>
          </w:p>
        </w:tc>
        <w:tc>
          <w:tcPr>
            <w:tcW w:type="dxa" w:w="13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 del certificado + prueba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partida</w:t>
            </w:r>
          </w:p>
        </w:tc>
        <w:tc>
          <w:tcPr>
            <w:tcW w:type="dxa" w:w="14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Ingreso de MP: partida y certificado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Partida retenida</w:t>
            </w:r>
          </w:p>
        </w:tc>
      </w:tr>
    </w:tbl>
    <w:p>
      <w:pPr>
        <w:spacing w:after="120"/>
      </w:pPr>
    </w:p>
    <w:p>
      <w:pPr>
        <w:keepNext/>
        <w:spacing w:after="60"/>
        <w:jc w:val="center"/>
      </w:pPr>
      <w:r>
        <w:drawing>
          <wp:inline distT="0" distB="0" distL="0" distR="0">
            <wp:extent cx="5943600" cy="41243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Plan de control con el estado de cada instrumento y el resultado del mes.</w:t>
      </w:r>
    </w:p>
    <w:p>
      <w:pPr>
        <w:keepNext/>
        <w:spacing w:after="60"/>
        <w:jc w:val="center"/>
      </w:pPr>
      <w:r>
        <w:drawing>
          <wp:inline distT="0" distB="0" distL="0" distR="0">
            <wp:extent cx="5943600" cy="4124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Los ensayos de lote L1 a L5 y de pintura se cargan en el cierre.</w:t>
      </w:r>
    </w:p>
    <w:p>
      <w:pPr>
        <w:pStyle w:val="Heading2"/>
        <w:keepNext/>
        <w:spacing w:after="80" w:before="180" w:line="276"/>
      </w:pPr>
      <w:r>
        <w:rPr>
          <w:rFonts w:ascii="Arial" w:cs="Arial" w:eastAsia="Arial" w:hAnsi="Arial"/>
          <w:color w:val="000000"/>
          <w:sz w:val="19"/>
          <w:szCs w:val="19"/>
        </w:rPr>
        <w:t xml:space="preserve">11.8 Cómo se mide y cómo llega cada dato</w:t>
      </w:r>
    </w:p>
    <w:p>
      <w:pPr>
        <w:spacing w:after="100" w:before="0" w:line="276"/>
      </w:pPr>
      <w:r>
        <w:rPr>
          <w:rFonts w:ascii="Arial" w:cs="Arial" w:eastAsia="Arial" w:hAnsi="Arial"/>
          <w:color w:val="000000"/>
          <w:sz w:val="19"/>
          <w:szCs w:val="19"/>
        </w:rPr>
        <w:t xml:space="preserve">Dentro de la planta no hay una tablet por puesto: la hoja de ruta en papel registra las firmas, los lotes de insumo y los ✓ / ✗ de cada serie, y se carga con una foto al cierre; las lecturas automáticas son las del lector del grabado en etiquetado y en el pallet, y el archivo de pesadas de la balanza. Fuera de la planta, nadie necesita una aplicación: cada traspaso se registra leyendo el QR del remito o del equipo con la cámara del celular. Todo entra a la base como un evento encadenado con SHA-256, y de ahí salen los tableros, los estados y el AMFE.</w:t>
      </w:r>
    </w:p>
    <w:p>
      <w:pPr>
        <w:pStyle w:val="Heading3"/>
        <w:keepNext/>
        <w:spacing w:after="60" w:before="140" w:line="276"/>
      </w:pPr>
      <w:r>
        <w:rPr>
          <w:rFonts w:ascii="Arial" w:cs="Arial" w:eastAsia="Arial" w:hAnsi="Arial"/>
          <w:color w:val="000000"/>
          <w:sz w:val="19"/>
          <w:szCs w:val="19"/>
        </w:rPr>
        <w:t xml:space="preserve">Intraplanta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1165"/>
        <w:gridCol w:w="1165"/>
        <w:gridCol w:w="874"/>
        <w:gridCol w:w="932"/>
        <w:gridCol w:w="1981"/>
        <w:gridCol w:w="1282"/>
        <w:gridCol w:w="1342"/>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nace</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 al sistema</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Validación</w:t>
            </w:r>
          </w:p>
        </w:tc>
        <w:tc>
          <w:tcPr>
            <w:tcW w:type="dxa" w:w="13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Alimenta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y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(Aprovechamiento_Manuales y _Carros)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planificar la semana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Excel y reserva las series del año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únicas, sin huecos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estados, Gantt</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cada insumo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 a 22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lote del proveedor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empezar cada insumo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Anotado en la hoja de ruta → foto al cierre → calidad lo 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lote tiene que existir en Insumos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lotes en uso, retiros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fecha y hora de cada puesto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 los puestos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 en el puesto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al cierre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firmas el lote no cierra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estadios, ciclo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chapa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y puesto 2</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Medidor de espesores Melisam MR017 (ESP-1)</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bobina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ingreso de MP</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nominal del plano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R1, AMFE P-01</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de PH por serie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13 / C-8</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 PH-M1 / PH-M2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PH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en la lista de series; los ✗ se marcan al cierre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bloqueada si el contraste venció</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FPY, carta p, AMFE P-04</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 de pintura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16-19 / C-10</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EP-1, cuadriculado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del lote: 5 lecturas y clase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60-100 µm; clase 0-1</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R5, AMFE P-07</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 por serie</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20-21 / C-13</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Balanza B-1 / B-2</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 carga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pesadas de la balanza subido al cierre, o valor anotado (criterio: según la balanza que se compre)</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banda del BOM</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I, Cpk, AMFE P-08</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N₂ y pérdidas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22-23 / C-13, C-14</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del equipo, cuba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Tilde ✓ / ✗ en la hoja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zona verde; sin burbujas</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FPY, AMFE P-10 y P-11</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(serie y causa)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puesto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Número grabado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 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cuando pasa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Anotado en la hoja; calidad lo marca en la lista al cerrar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serie es del lote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Pareto, FPY, O del AMFE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lote L1-L5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Rotura, camisa de agua, banco de descarga, certificados</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o partida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F-02 por partida, visada por el RT</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criterios DOC-02</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 control, visado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y calibración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Laboratorio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Patrón MP-PAT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cada 15 días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de equipos de medición</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vencido → bloqueo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medición, retención</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DPM USB + impresora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grabado → evento IDENTIFICADO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u otro lote: bloqueado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Identificados, estampillas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 / C-16</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pallet</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las cajas → etiqueta SSCC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no cierra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r>
    </w:tbl>
    <w:p>
      <w:pPr>
        <w:spacing w:after="120"/>
      </w:pPr>
    </w:p>
    <w:p>
      <w:pPr>
        <w:keepNext/>
        <w:spacing w:after="60"/>
        <w:jc w:val="center"/>
      </w:pPr>
      <w:r>
        <w:drawing>
          <wp:inline distT="0" distB="0" distL="0" distR="0">
            <wp:extent cx="5943600" cy="4124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Origen de los datos intraplanta: flujo y registros del mes por fuente.</w:t>
      </w:r>
    </w:p>
    <w:p>
      <w:pPr>
        <w:pStyle w:val="Heading3"/>
        <w:keepNext/>
        <w:spacing w:after="60" w:before="140" w:line="276"/>
      </w:pPr>
      <w:r>
        <w:rPr>
          <w:rFonts w:ascii="Arial" w:cs="Arial" w:eastAsia="Arial" w:hAnsi="Arial"/>
          <w:color w:val="000000"/>
          <w:sz w:val="19"/>
          <w:szCs w:val="19"/>
        </w:rPr>
        <w:t xml:space="preserve">Extraplanta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1165"/>
        <w:gridCol w:w="1165"/>
        <w:gridCol w:w="874"/>
        <w:gridCol w:w="932"/>
        <w:gridCol w:w="1981"/>
        <w:gridCol w:w="1282"/>
        <w:gridCol w:w="1342"/>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nace</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Instrumento</w:t>
            </w:r>
          </w:p>
        </w:tc>
        <w:tc>
          <w:tcPr>
            <w:tcW w:type="dxa" w:w="8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llega al sistema</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Validación</w:t>
            </w:r>
          </w:p>
        </w:tc>
        <w:tc>
          <w:tcPr>
            <w:tcW w:type="dxa" w:w="134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Alimenta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anexo de series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Sistema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despachar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 desde los pallets leídos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series en depósito PT</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Expedición, custodia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Salida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 en el celular</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salir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del QR (página web, sin app) → EN TRÁNSITO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patente y COT</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tránsito, lead time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remito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recibir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 marca faltantes o daños con foto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sin confirmar: aviso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confirmar, AMFE C-02</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equipo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a quién se vendió</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retiros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foto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instalar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Formulario: ubicación, alturas, cartel, tarjeta DPS o SGM</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6.2.14 y 7.3</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Instalaciones, jurisdicciones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periódico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del equipo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 o recargador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trimestral (IRAM 3517-2 8.2)</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la página del QR (criterio)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C-04 y C-05</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 y reclamo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mail o teléfono</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Usuario → atención</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cuando quiere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pública /m/serie; formulario → acuse con número y plazo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datos del dueño en la página</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en plazo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 de recargas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 tablet</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recibir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con fabricante, número y año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vencida o 20 años: bloqueo</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AMFE C-07 y C-08</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Ensayos de recarga</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Taller de recargas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PH, balanza</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Técnico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en la OS (DOC-03)</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criterios IRAM 3517-2</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AMFE C-06, inutilizados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Tarjetas oficiales</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 · archivo SGM</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partida / mensual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Reporte generado por el sistema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 Res. 32-AGC/15</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Jurisdicciones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 del lote</w:t>
            </w:r>
          </w:p>
        </w:tc>
        <w:tc>
          <w:tcPr>
            <w:tcW w:type="dxa" w:w="8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abrirlo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ubicados por QR o llamado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4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Retiros, AMFE C-10</w:t>
            </w:r>
          </w:p>
        </w:tc>
      </w:tr>
    </w:tbl>
    <w:p>
      <w:pPr>
        <w:spacing w:after="120"/>
      </w:pPr>
    </w:p>
    <w:p>
      <w:pPr>
        <w:keepNext/>
        <w:spacing w:after="60"/>
        <w:jc w:val="center"/>
      </w:pPr>
      <w:r>
        <w:drawing>
          <wp:inline distT="0" distB="0" distL="0" distR="0">
            <wp:extent cx="5943600" cy="4124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Origen de los datos extraplanta.</w:t>
      </w:r>
    </w:p>
    <w:p>
      <w:pPr>
        <w:spacing w:after="100" w:before="0" w:line="276"/>
      </w:pPr>
      <w:r>
        <w:rPr>
          <w:rFonts w:ascii="Arial" w:cs="Arial" w:eastAsia="Arial" w:hAnsi="Arial"/>
          <w:color w:val="000000"/>
          <w:sz w:val="19"/>
          <w:szCs w:val="19"/>
        </w:rPr>
        <w:t xml:space="preserve">La masa por serie depende de la balanza: si guarda las pesadas o tiene salida USB, el archivo se sube al cierre; si no, el operario anota el valor en la hoja (criterio, a definir con la balanza que se compre).</w:t>
      </w:r>
    </w:p>
    <w:p>
      <w:pPr>
        <w:pStyle w:val="Heading2"/>
        <w:keepNext/>
        <w:spacing w:after="80" w:before="180" w:line="276"/>
      </w:pPr>
      <w:r>
        <w:rPr>
          <w:rFonts w:ascii="Arial" w:cs="Arial" w:eastAsia="Arial" w:hAnsi="Arial"/>
          <w:color w:val="000000"/>
          <w:sz w:val="19"/>
          <w:szCs w:val="19"/>
        </w:rPr>
        <w:t xml:space="preserve">11.9 Publicarla en Vercel</w:t>
      </w:r>
    </w:p>
    <w:p>
      <w:pPr>
        <w:pStyle w:val="ListParagraph"/>
        <w:numPr>
          <w:ilvl w:val="0"/>
          <w:numId w:val="2"/>
        </w:numPr>
        <w:spacing w:after="40" w:before="0" w:line="276"/>
      </w:pPr>
      <w:r>
        <w:rPr>
          <w:rFonts w:ascii="Arial" w:cs="Arial" w:eastAsia="Arial" w:hAnsi="Arial"/>
          <w:color w:val="000000"/>
          <w:sz w:val="19"/>
          <w:szCs w:val="19"/>
        </w:rPr>
        <w:t xml:space="preserve">Carpeta trazabilidad/app del repositorio: index.html es la app completa (un solo archivo).</w:t>
      </w:r>
    </w:p>
    <w:p>
      <w:pPr>
        <w:pStyle w:val="ListParagraph"/>
        <w:numPr>
          <w:ilvl w:val="0"/>
          <w:numId w:val="2"/>
        </w:numPr>
        <w:spacing w:after="40" w:before="0" w:line="276"/>
      </w:pPr>
      <w:r>
        <w:rPr>
          <w:rFonts w:ascii="Arial" w:cs="Arial" w:eastAsia="Arial" w:hAnsi="Arial"/>
          <w:color w:val="000000"/>
          <w:sz w:val="19"/>
          <w:szCs w:val="19"/>
        </w:rPr>
        <w:t xml:space="preserve">vercel.json manda /m/&lt;serie&gt;, /r/&lt;remito&gt; y /p/&lt;pallet&gt; a la misma página, que abre la vista que corresponde.</w:t>
      </w:r>
    </w:p>
    <w:p>
      <w:pPr>
        <w:pStyle w:val="ListParagraph"/>
        <w:numPr>
          <w:ilvl w:val="0"/>
          <w:numId w:val="2"/>
        </w:numPr>
        <w:spacing w:after="40" w:before="0" w:line="276"/>
      </w:pPr>
      <w:r>
        <w:rPr>
          <w:rFonts w:ascii="Arial" w:cs="Arial" w:eastAsia="Arial" w:hAnsi="Arial"/>
          <w:color w:val="000000"/>
          <w:sz w:val="19"/>
          <w:szCs w:val="19"/>
        </w:rPr>
        <w:t xml:space="preserve">En Vercel: Add New → Project → importar el repositorio con Root Directory ./ y Framework «Other»: el vercel.json de la raíz publica trazabilidad/app. Deploy. Cada push a la rama vuelve a publicarla.</w:t>
      </w:r>
    </w:p>
    <w:p>
      <w:pPr>
        <w:pStyle w:val="ListParagraph"/>
        <w:numPr>
          <w:ilvl w:val="0"/>
          <w:numId w:val="2"/>
        </w:numPr>
        <w:spacing w:after="40" w:before="0" w:line="276"/>
      </w:pPr>
      <w:r>
        <w:rPr>
          <w:rFonts w:ascii="Arial" w:cs="Arial" w:eastAsia="Arial" w:hAnsi="Arial"/>
          <w:color w:val="000000"/>
          <w:sz w:val="19"/>
          <w:szCs w:val="19"/>
        </w:rPr>
        <w:t xml:space="preserve">Para actualizar los datos: python3 build.py &lt;año&gt; &lt;mes&gt; lee el Plan mensual y rearma index.html.</w:t>
      </w:r>
    </w:p>
    <w:p>
      <w:pPr>
        <w:pStyle w:val="Heading1"/>
        <w:keepNext/>
        <w:spacing w:after="120" w:before="240" w:line="276"/>
      </w:pPr>
      <w:r>
        <w:rPr>
          <w:rFonts w:ascii="Arial" w:cs="Arial" w:eastAsia="Arial" w:hAnsi="Arial"/>
          <w:color w:val="000000"/>
          <w:sz w:val="19"/>
          <w:szCs w:val="19"/>
        </w:rPr>
        <w:t xml:space="preserve">12. Atención al cliente</w:t>
      </w:r>
    </w:p>
    <w:p>
      <w:pPr>
        <w:spacing w:after="100" w:before="0" w:line="276"/>
      </w:pPr>
      <w:r>
        <w:rPr>
          <w:rFonts w:ascii="Arial" w:cs="Arial" w:eastAsia="Arial" w:hAnsi="Arial"/>
          <w:color w:val="000000"/>
          <w:sz w:val="19"/>
          <w:szCs w:val="19"/>
        </w:rPr>
        <w:t xml:space="preserve">El cliente no tiene que buscar nada: escanea el QR del equipo y desde ahí pide servicio, reclama, ve qué datos suyos tiene FLAMA, se da de baja de los avisos o se arrepiente de una compra web. Del lado de FLAMA el reclamo llega con el lote, los insumos, los ensayos y la custodia del equipo. La página pública del QR muestra solo datos del equipo, nunca del dueño.</w:t>
      </w:r>
    </w:p>
    <w:p>
      <w:pPr>
        <w:keepNext/>
        <w:spacing w:after="60"/>
        <w:jc w:val="center"/>
      </w:pPr>
      <w:r>
        <w:drawing>
          <wp:inline distT="0" distB="0" distL="0" distR="0">
            <wp:extent cx="2524125" cy="48006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524125" cy="48006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Lo que ve quien escanea el QR, sin datos del dueño: la serie 26-005480 del plan de octubre todavía no salió de fábrica; al identificarla muestra su estado y sus vencimientos.</w:t>
      </w:r>
    </w:p>
    <w:p>
      <w:pPr>
        <w:pStyle w:val="Heading2"/>
        <w:keepNext/>
        <w:spacing w:after="80" w:before="180" w:line="276"/>
      </w:pPr>
      <w:r>
        <w:rPr>
          <w:rFonts w:ascii="Arial" w:cs="Arial" w:eastAsia="Arial" w:hAnsi="Arial"/>
          <w:color w:val="000000"/>
          <w:sz w:val="19"/>
          <w:szCs w:val="19"/>
        </w:rPr>
        <w:t xml:space="preserve">12.1 Plazos de respuesta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4"/>
        <w:gridCol w:w="1282"/>
        <w:gridCol w:w="1632"/>
        <w:gridCol w:w="2098"/>
        <w:gridCol w:w="2330"/>
      </w:tblGrid>
      <w:tr>
        <w:trPr>
          <w:cantSplit/>
          <w:tblHeader/>
        </w:trPr>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Pedido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Acuse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Primera respuesta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Resolución</w:t>
            </w:r>
          </w:p>
        </w:tc>
        <w:tc>
          <w:tcPr>
            <w:tcW w:type="dxa" w:w="23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el equipo podría no funcionar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contacto ≤ 24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 ≤ 48 h</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FLAMA · IRAM 3517-2 9.4.5</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del equipo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11-17 · plazos: criterio</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Deficiencia de una recarga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costo, si aparece dentro de 30 días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a datos personales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corridos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o supresión de datos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5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16</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Arrepentimiento de compra web</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24 h</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días corridos para ejercerlo</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SCI 424/2020 · Ley 24.240 art. 34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Baja de avisos o del contrato de mantenimiento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r>
    </w:tbl>
    <w:p>
      <w:pPr>
        <w:spacing w:after="120"/>
      </w:pPr>
    </w:p>
    <w:p>
      <w:pPr>
        <w:spacing w:after="100" w:before="0" w:line="276"/>
      </w:pPr>
      <w:r>
        <w:rPr>
          <w:rFonts w:ascii="Arial" w:cs="Arial" w:eastAsia="Arial" w:hAnsi="Arial"/>
          <w:color w:val="000000"/>
          <w:sz w:val="19"/>
          <w:szCs w:val="19"/>
        </w:rPr>
        <w:t xml:space="preserve">Los plazos que fija la ley se cumplen tal cual. Los marcados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los fija FLAMA y se miden en Desvíos.</w:t>
      </w:r>
    </w:p>
    <w:p>
      <w:pPr>
        <w:pStyle w:val="Heading2"/>
        <w:keepNext/>
        <w:spacing w:after="80" w:before="180" w:line="276"/>
      </w:pPr>
      <w:r>
        <w:rPr>
          <w:rFonts w:ascii="Arial" w:cs="Arial" w:eastAsia="Arial" w:hAnsi="Arial"/>
          <w:color w:val="000000"/>
          <w:sz w:val="19"/>
          <w:szCs w:val="19"/>
        </w:rPr>
        <w:t xml:space="preserve">12.2 Cómo se trata un reclamo (IRAM-ISO 10002)</w:t>
      </w:r>
    </w:p>
    <w:p>
      <w:pPr>
        <w:pStyle w:val="ListParagraph"/>
        <w:numPr>
          <w:ilvl w:val="0"/>
          <w:numId w:val="2"/>
        </w:numPr>
        <w:spacing w:after="40" w:before="0" w:line="276"/>
      </w:pPr>
      <w:r>
        <w:rPr>
          <w:rFonts w:ascii="Arial" w:cs="Arial" w:eastAsia="Arial" w:hAnsi="Arial"/>
          <w:color w:val="000000"/>
          <w:sz w:val="19"/>
          <w:szCs w:val="19"/>
        </w:rPr>
        <w:t xml:space="preserve">Recibido: entra por el QR, el mail o el teléfono y se carga igual.</w:t>
      </w:r>
    </w:p>
    <w:p>
      <w:pPr>
        <w:pStyle w:val="ListParagraph"/>
        <w:numPr>
          <w:ilvl w:val="0"/>
          <w:numId w:val="2"/>
        </w:numPr>
        <w:spacing w:after="40" w:before="0" w:line="276"/>
      </w:pPr>
      <w:r>
        <w:rPr>
          <w:rFonts w:ascii="Arial" w:cs="Arial" w:eastAsia="Arial" w:hAnsi="Arial"/>
          <w:color w:val="000000"/>
          <w:sz w:val="19"/>
          <w:szCs w:val="19"/>
        </w:rPr>
        <w:t xml:space="preserve">Acuse: número y plazo en el momento.</w:t>
      </w:r>
    </w:p>
    <w:p>
      <w:pPr>
        <w:pStyle w:val="ListParagraph"/>
        <w:numPr>
          <w:ilvl w:val="0"/>
          <w:numId w:val="2"/>
        </w:numPr>
        <w:spacing w:after="40" w:before="0" w:line="276"/>
      </w:pPr>
      <w:r>
        <w:rPr>
          <w:rFonts w:ascii="Arial" w:cs="Arial" w:eastAsia="Arial" w:hAnsi="Arial"/>
          <w:color w:val="000000"/>
          <w:sz w:val="19"/>
          <w:szCs w:val="19"/>
        </w:rPr>
        <w:t xml:space="preserve">Evaluado: seguridad primero; si el equipo puede no funcionar, sustituto en 48 h (criterio).</w:t>
      </w:r>
    </w:p>
    <w:p>
      <w:pPr>
        <w:pStyle w:val="ListParagraph"/>
        <w:numPr>
          <w:ilvl w:val="0"/>
          <w:numId w:val="2"/>
        </w:numPr>
        <w:spacing w:after="40" w:before="0" w:line="276"/>
      </w:pPr>
      <w:r>
        <w:rPr>
          <w:rFonts w:ascii="Arial" w:cs="Arial" w:eastAsia="Arial" w:hAnsi="Arial"/>
          <w:color w:val="000000"/>
          <w:sz w:val="19"/>
          <w:szCs w:val="19"/>
        </w:rPr>
        <w:t xml:space="preserve">Investigado: la traza muestra lote, insumos, ensayos y otros reclamos del mismo lote.</w:t>
      </w:r>
    </w:p>
    <w:p>
      <w:pPr>
        <w:pStyle w:val="ListParagraph"/>
        <w:numPr>
          <w:ilvl w:val="0"/>
          <w:numId w:val="2"/>
        </w:numPr>
        <w:spacing w:after="40" w:before="0" w:line="276"/>
      </w:pPr>
      <w:r>
        <w:rPr>
          <w:rFonts w:ascii="Arial" w:cs="Arial" w:eastAsia="Arial" w:hAnsi="Arial"/>
          <w:color w:val="000000"/>
          <w:sz w:val="19"/>
          <w:szCs w:val="19"/>
        </w:rPr>
        <w:t xml:space="preserve">Respondido: por escrito, con la vía de conciliación (Ventanilla Federal, COPREC, Ley 26.993).</w:t>
      </w:r>
    </w:p>
    <w:p>
      <w:pPr>
        <w:pStyle w:val="ListParagraph"/>
        <w:numPr>
          <w:ilvl w:val="0"/>
          <w:numId w:val="2"/>
        </w:numPr>
        <w:spacing w:after="40" w:before="0" w:line="276"/>
      </w:pPr>
      <w:r>
        <w:rPr>
          <w:rFonts w:ascii="Arial" w:cs="Arial" w:eastAsia="Arial" w:hAnsi="Arial"/>
          <w:color w:val="000000"/>
          <w:sz w:val="19"/>
          <w:szCs w:val="19"/>
        </w:rPr>
        <w:t xml:space="preserve">Cerrado: encuesta de una pregunta; la causa pasa a Desvíos.</w:t>
      </w:r>
    </w:p>
    <w:p>
      <w:pPr>
        <w:keepNext/>
        <w:spacing w:after="60"/>
        <w:jc w:val="center"/>
      </w:pPr>
      <w:r>
        <w:drawing>
          <wp:inline distT="0" distB="0" distL="0" distR="0">
            <wp:extent cx="5943600" cy="41243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Bandeja de reclamos con su etapa y su plazo.</w:t>
      </w:r>
    </w:p>
    <w:p>
      <w:pPr>
        <w:pStyle w:val="Heading2"/>
        <w:keepNext/>
        <w:spacing w:after="80" w:before="180" w:line="276"/>
      </w:pPr>
      <w:r>
        <w:rPr>
          <w:rFonts w:ascii="Arial" w:cs="Arial" w:eastAsia="Arial" w:hAnsi="Arial"/>
          <w:color w:val="000000"/>
          <w:sz w:val="19"/>
          <w:szCs w:val="19"/>
        </w:rPr>
        <w:t xml:space="preserve">12.3 Matriz normativa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680"/>
        <w:gridCol w:w="3613"/>
        <w:gridCol w:w="1515"/>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exige</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lo cumple la app</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 cierta, clara y detallada del producto.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del QR muestra modelo, clases de fuego, vencimientos de mantenimiento y PH, vida útil y la historia del equipo.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Comercial</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8 bis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Trato digno; nada intimidatorio ni vejatorio.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de vencimiento informativos (sin «multas» ni amenazas); plantillas de respuesta revisadas por calidad.</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 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baja se hace por el mismo medio que el alta.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«Dejar de recibir avisos» en el pie de cada página del QR, sin registro previo.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Baja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 y 14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legal de 6 meses para cosas nuevas; certificado con su contenido.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garantía se emite al firmar el acta de instalación y queda en la ficha del equipo con su fecha de inicio.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Constancia de reparación: qué se hizo, piezas, fechas de entrega y devolución.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la ficha rev. n la app manda la constancia con agente, precinto, piezas y fechas.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Presupuesto previo al servicio.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 emite el presupuesto PR antes de abrir la ficha; sin aceptación no se trabaja.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del servicio dentro de 30 días: se corrigen sin costo.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ficha de servicio muestra «garantía del servicio hasta…»; un reclamo dentro de ese plazo abre una orden sin cargo.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34 · Res. SCI 424/2020</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 arrepentimiento en ventas a distancia; código en 24 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Enlace en el pie del QR y de la tienda; el código sale en el momento.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Arrepentimiento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26.993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Vías de conciliación en relaciones de consumo.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respuesta informa la Ventanilla Federal y el COPREC si el cliente no queda conforme.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6 y 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Informar finalidad y proteger los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en la instalación; la página pública del QR no muestra datos del dueño.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11 y 12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 y 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en 10 días corridos; corrección o supresión en 5 días hábiles.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Pedidos desde «Mis datos» con vencimiento calculado y alerta en Desvíos si se pasa.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Mis datos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Inscripción de la base de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base de trazabilidad se inscribe en el registro de la AAIP antes de salir a producción.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 6</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21-23, 32, 46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estampillas propias numeradas en el libro, sustituto habilitado.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asigna estampilla por serie y arma el libro de actas; el sustituto lleva tarjeta con sello «sustituto habilitado».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6, 11 y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Condiciones que el usuario debe controlar en su equipo.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«Revisalo vos» del QR con los controles a-f en lenguaje simple.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Revisalo vos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27-29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con corte de rosca; fechas en el tubo de pesca; oblea de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Reglas de recarga e inutilización por jurisdicción con acta y aviso al propietario.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14 y 15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32-AGC/15 (CABA) anexo II</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fabricación o recarga se registra en el SGM; la tarjeta lleva QR de validación.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arma el archivo del proceso batch con los datos del art. 4; el QR FLAMA no reemplaza la tarjeta oficial.</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n° de serie renovada en cada servicio; registros 6 años.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nueva con el mismo QR en cada ficha; la base guarda todo el historial con hash.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Tratamiento de quejas: visible, accesible, con respuesta, objetivo, confidencial y con mejora continua.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desde el QR con número, etapas y plazos; cada causa se analiza en Desvíos.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 Desvíos</w:t>
            </w:r>
          </w:p>
        </w:tc>
      </w:tr>
    </w:tbl>
    <w:p>
      <w:pPr>
        <w:spacing w:after="120"/>
      </w:pPr>
    </w:p>
    <w:p>
      <w:pPr>
        <w:pStyle w:val="Heading1"/>
        <w:keepNext/>
        <w:spacing w:after="120" w:before="240" w:line="276"/>
      </w:pPr>
      <w:r>
        <w:rPr>
          <w:rFonts w:ascii="Arial" w:cs="Arial" w:eastAsia="Arial" w:hAnsi="Arial"/>
          <w:color w:val="000000"/>
          <w:sz w:val="19"/>
          <w:szCs w:val="19"/>
        </w:rPr>
        <w:t xml:space="preserve">13. Manual de seguimiento y trazabilidad (MT-01)</w:t>
      </w:r>
    </w:p>
    <w:p>
      <w:pPr>
        <w:spacing w:after="100" w:before="0" w:line="276"/>
      </w:pPr>
      <w:r>
        <w:rPr>
          <w:rFonts w:ascii="Arial" w:cs="Arial" w:eastAsia="Arial" w:hAnsi="Arial"/>
          <w:b/>
          <w:bCs/>
          <w:color w:val="000000"/>
          <w:sz w:val="19"/>
          <w:szCs w:val="19"/>
        </w:rPr>
        <w:t xml:space="preserve">Objeto.</w:t>
      </w:r>
      <w:r>
        <w:rPr>
          <w:rFonts w:ascii="Arial" w:cs="Arial" w:eastAsia="Arial" w:hAnsi="Arial"/>
          <w:color w:val="000000"/>
          <w:sz w:val="19"/>
          <w:szCs w:val="19"/>
        </w:rPr>
        <w:t xml:space="preserve"> Fijar cómo se identifica cada matafuego, qué se registra en cada etapa y cómo se reconstruye su historia. </w:t>
      </w:r>
      <w:r>
        <w:rPr>
          <w:rFonts w:ascii="Arial" w:cs="Arial" w:eastAsia="Arial" w:hAnsi="Arial"/>
          <w:b/>
          <w:bCs/>
          <w:color w:val="000000"/>
          <w:sz w:val="19"/>
          <w:szCs w:val="19"/>
        </w:rPr>
        <w:t xml:space="preserve">Alcance:</w:t>
      </w:r>
      <w:r>
        <w:rPr>
          <w:rFonts w:ascii="Arial" w:cs="Arial" w:eastAsia="Arial" w:hAnsi="Arial"/>
          <w:color w:val="000000"/>
          <w:sz w:val="19"/>
          <w:szCs w:val="19"/>
        </w:rPr>
        <w:t xml:space="preserve"> manuales ABC de 1 a 10 kg, carros de 25 a 100 kg, sustitutos y recargas. La unidad de trazabilidad es la </w:t>
      </w:r>
      <w:r>
        <w:rPr>
          <w:rFonts w:ascii="Arial" w:cs="Arial" w:eastAsia="Arial" w:hAnsi="Arial"/>
          <w:b/>
          <w:bCs/>
          <w:color w:val="000000"/>
          <w:sz w:val="19"/>
          <w:szCs w:val="19"/>
        </w:rPr>
        <w:t xml:space="preserve">serie</w:t>
      </w:r>
      <w:r>
        <w:rPr>
          <w:rFonts w:ascii="Arial" w:cs="Arial" w:eastAsia="Arial" w:hAnsi="Arial"/>
          <w:color w:val="000000"/>
          <w:sz w:val="19"/>
          <w:szCs w:val="19"/>
        </w:rPr>
        <w:t xml:space="preserve">; la de registro en planta, el </w:t>
      </w:r>
      <w:r>
        <w:rPr>
          <w:rFonts w:ascii="Arial" w:cs="Arial" w:eastAsia="Arial" w:hAnsi="Arial"/>
          <w:b/>
          <w:bCs/>
          <w:color w:val="000000"/>
          <w:sz w:val="19"/>
          <w:szCs w:val="19"/>
        </w:rPr>
        <w:t xml:space="preserve">lote</w:t>
      </w:r>
      <w:r>
        <w:rPr>
          <w:rFonts w:ascii="Arial" w:cs="Arial" w:eastAsia="Arial" w:hAnsi="Arial"/>
          <w:color w:val="000000"/>
          <w:sz w:val="19"/>
          <w:szCs w:val="19"/>
        </w:rPr>
        <w:t xml:space="preserve"> (un carro); la del certificado de fabricación, la </w:t>
      </w:r>
      <w:r>
        <w:rPr>
          <w:rFonts w:ascii="Arial" w:cs="Arial" w:eastAsia="Arial" w:hAnsi="Arial"/>
          <w:b/>
          <w:bCs/>
          <w:color w:val="000000"/>
          <w:sz w:val="19"/>
          <w:szCs w:val="19"/>
        </w:rPr>
        <w:t xml:space="preserve">partida</w:t>
      </w:r>
      <w:r>
        <w:rPr>
          <w:rFonts w:ascii="Arial" w:cs="Arial" w:eastAsia="Arial" w:hAnsi="Arial"/>
          <w:color w:val="000000"/>
          <w:sz w:val="19"/>
          <w:szCs w:val="19"/>
        </w:rPr>
        <w:t xml:space="preserve"> (≥ 100 u, Res. 349/07 art. 21).</w:t>
      </w:r>
    </w:p>
    <w:p>
      <w:pPr>
        <w:pStyle w:val="Heading2"/>
        <w:keepNext/>
        <w:spacing w:after="80" w:before="180" w:line="276"/>
      </w:pPr>
      <w:r>
        <w:rPr>
          <w:rFonts w:ascii="Arial" w:cs="Arial" w:eastAsia="Arial" w:hAnsi="Arial"/>
          <w:color w:val="000000"/>
          <w:sz w:val="19"/>
          <w:szCs w:val="19"/>
        </w:rPr>
        <w:t xml:space="preserve">13.1 Responsabilidades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932"/>
        <w:gridCol w:w="1165"/>
        <w:gridCol w:w="1049"/>
        <w:gridCol w:w="1282"/>
        <w:gridCol w:w="1515"/>
        <w:gridCol w:w="1049"/>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Actividad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PCP</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Producción</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Calidad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 técnico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Recargas / instalador</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Atención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Emitir OP y series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y registrar en puestos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Cerrar lote y visar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Etiquetar y estampillar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Despachar y seguir la custodia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Instalar y entregar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Responder reclamos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Recargar e inutilizar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bl>
    <w:p>
      <w:pPr>
        <w:spacing w:after="120"/>
      </w:pPr>
    </w:p>
    <w:p>
      <w:pPr>
        <w:spacing w:after="100" w:before="0" w:line="276"/>
      </w:pPr>
      <w:r>
        <w:rPr>
          <w:rFonts w:ascii="Arial" w:cs="Arial" w:eastAsia="Arial" w:hAnsi="Arial"/>
          <w:color w:val="000000"/>
          <w:sz w:val="19"/>
          <w:szCs w:val="19"/>
        </w:rPr>
        <w:t xml:space="preserve">R: lo hace · A: lo aprueba · C: se lo consulta · I: se le informa. El responsable técnico y el responsable operativo de taller son los de la Res. 349/07 art. 7 y 8.</w:t>
      </w:r>
    </w:p>
    <w:p>
      <w:pPr>
        <w:pStyle w:val="Heading2"/>
        <w:keepNext/>
        <w:spacing w:after="80" w:before="180" w:line="276"/>
      </w:pPr>
      <w:r>
        <w:rPr>
          <w:rFonts w:ascii="Arial" w:cs="Arial" w:eastAsia="Arial" w:hAnsi="Arial"/>
          <w:color w:val="000000"/>
          <w:sz w:val="19"/>
          <w:szCs w:val="19"/>
        </w:rPr>
        <w:t xml:space="preserve">13.2 Procedimientos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16"/>
        <w:gridCol w:w="1748"/>
        <w:gridCol w:w="1398"/>
        <w:gridCol w:w="3263"/>
        <w:gridCol w:w="1398"/>
        <w:gridCol w:w="1283"/>
      </w:tblGrid>
      <w:tr>
        <w:trPr>
          <w:cantSplit/>
          <w:tblHeader/>
        </w:trPr>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Procedimiento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Responsable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Pasos</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12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Emisión de órdenes y reserva de series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Abrir «Nueva orden»: la app lee el Plan mensual del mes. 2) Revisar tamaños de lote (carro del modelo) y agrupación en partidas ≥ 100 u. 3) Confirmar: se reservan las series correlativas del año. 4) Imprimir hojas de ruta y enviar el archivo a la marcadora.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en la base · hoja de ruta F-01</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sin huecos ni repetidas: la base lo impide.</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la planchuela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G2</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Cargar el archivo de la OP en la Pannier. 2) Apoyar contra topes y marcar; la máquina avanza sola. 3) Si sale mal, anular la serie en la hoja (no se reutiliza).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GRABADO por serie</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visual del primer grabado de cada lote (profundidad y legibilidad).</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puestos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Operarios 4 a 23</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Firmar una vez por lote y anotar el lote de cada insumo. 2) En espesor, PH, carga y pérdidas: ✓ o ✗ por equipo. 3) Sacar del carro el equipo con ✗, con su número a la vista.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 firmada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solo con manómetro contrastado hace ≤ 15 días (Res. 349/07 art. 20).</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 y visado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responsable técnico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Fotografiar la hoja completa. 2) Confirmar rechazos propuestos y abrir un RD por cada uno. 3) El RT visa la planilla de ensayos de la partida (anexo I C).</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 planilla F-02 + RD</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no hay etiquetado.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final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con el lector. 2) Pegar la etiqueta QR y la estampilla de fabricación DPS que asigna la app. 3) Si la pantalla bloquea, separar el equipo y avisar a calidad.</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 estampilla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Estampillas solo de FLAMA y numeradas en el libro (art. 46).</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pallet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depósito PT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cada caja y cerrar el pallet (SSCC). 2) Leer el pallet al subirlo; emitir remito con anexo de series y QR. 3) Controlar cantidad exenta de carga peligrosa y COT.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 + 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pallet sin leer no deja cerrar el remito.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por el distribuidor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Comercializador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remito, contar y revisar. 2) Marcar daños con foto; se abre un RD. 3) Confirmar la 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confirmación en 48 h, alerta a ventas.</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 y entrega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equipo instalado. 2) Cargar ubicación y datos de la jurisdicción (tarjeta DPS o SGM). 3) Verificar alturas; leer el aviso de datos al titular; firmar el acta F-03.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 garantía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Alturas IRAM 3517-2 6.2.14 y 7.3.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Recibir (QR, mail o teléfono) y dar número. 2) Clasificar; si es de seguridad, sustituto ≤ 48 h. 3) Investigar con la traza; responder por escrito con la vía de conciliación. 4) Cerrar y pasar la causa a Desvíos.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la política AC-01.</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mantenimiento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emitir presupuesto F-04 y dejar sustituto habilitado. 2) Revisar según IRAM 3517-2 9.7 y anexo F. 3) Recargar, grabar la fecha en el tubo de pesca, poner marbete, precinto y etiqueta nueva. 4) Cerrar ficha rev. n y enviar la constancia F-05.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 SGM / libro DPS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cambio total (art. 33).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Labrar el acta F-06 con el motivo. 2) Inutilizar según IRAM 3517-2 9.12 y, en PBA, cortar la rosca (art. 27). 3) Avisar al propietario; 30 días en depósito. 4) Bloquear la serie y asentar en SGM / libro.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 BAJA · acta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serie bloqueada no se puede recargar ni reetiquetar.</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dirección</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Buscar el lote sospechoso en el buscador (punto 9). 2) Bloquear las series en stock y las del distribuidor. 3) Avisar a cada titular con el texto aprobado y coordinar el cambio sin costo. 4) Cerrar cuando el 100 % esté ubicado o justificado.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DESVIOS + lista de series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Simulacro una vez por semestre (criterio).</w:t>
            </w:r>
          </w:p>
        </w:tc>
      </w:tr>
    </w:tbl>
    <w:p>
      <w:pPr>
        <w:spacing w:after="120"/>
      </w:pPr>
    </w:p>
    <w:p>
      <w:pPr>
        <w:pStyle w:val="Heading2"/>
        <w:keepNext/>
        <w:spacing w:after="80" w:before="180" w:line="276"/>
      </w:pPr>
      <w:r>
        <w:rPr>
          <w:rFonts w:ascii="Arial" w:cs="Arial" w:eastAsia="Arial" w:hAnsi="Arial"/>
          <w:color w:val="000000"/>
          <w:sz w:val="19"/>
          <w:szCs w:val="19"/>
        </w:rPr>
        <w:t xml:space="preserve">13.3 Registros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47"/>
        <w:gridCol w:w="3496"/>
        <w:gridCol w:w="3263"/>
      </w:tblGrid>
      <w:tr>
        <w:trPr>
          <w:cantSplit/>
          <w:tblHeader/>
        </w:trPr>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Soporte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guarda</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en la 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de ensayos por partida F-02</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visada por el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 (IRAM 3517-2 9.4.16)</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rubricado; la app arma los asientos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según autoridad (Res. 349/07 art. 19)</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manómetros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15 días (Res. 349/07 art. 20)</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con hash</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copia nocturna en Sheets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servicio F-05 y actas F-06</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papel firmado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 y desvíos F-07</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(criterio)</w:t>
            </w:r>
          </w:p>
        </w:tc>
      </w:tr>
    </w:tbl>
    <w:p>
      <w:pPr>
        <w:spacing w:after="120"/>
      </w:pPr>
    </w:p>
    <w:p>
      <w:pPr>
        <w:spacing w:after="100" w:before="0" w:line="276"/>
      </w:pPr>
      <w:r>
        <w:rPr>
          <w:rFonts w:ascii="Arial" w:cs="Arial" w:eastAsia="Arial" w:hAnsi="Arial"/>
          <w:color w:val="000000"/>
          <w:sz w:val="19"/>
          <w:szCs w:val="19"/>
        </w:rPr>
        <w:t xml:space="preserve">La base con datos de titulares se inscribe en el registro de la Agencia de Acceso a la Información Pública (Ley 25.326 art. 21). En la base nada se borra: un error se corrige con un evento nuevo que apunta al anterior; en papel, las enmiendas las salva el responsable técnico (Res. 349/07 art. 43 y 45).</w:t>
      </w:r>
    </w:p>
    <w:p>
      <w:pPr>
        <w:pStyle w:val="Heading2"/>
        <w:keepNext/>
        <w:spacing w:after="80" w:before="180" w:line="276"/>
      </w:pPr>
      <w:r>
        <w:rPr>
          <w:rFonts w:ascii="Arial" w:cs="Arial" w:eastAsia="Arial" w:hAnsi="Arial"/>
          <w:color w:val="000000"/>
          <w:sz w:val="19"/>
          <w:szCs w:val="19"/>
        </w:rPr>
        <w:t xml:space="preserve">13.4 Buscar la traza y retiro preventivo</w:t>
      </w:r>
    </w:p>
    <w:p>
      <w:pPr>
        <w:spacing w:after="100" w:before="0" w:line="276"/>
      </w:pPr>
      <w:r>
        <w:rPr>
          <w:rFonts w:ascii="Arial" w:cs="Arial" w:eastAsia="Arial" w:hAnsi="Arial"/>
          <w:color w:val="000000"/>
          <w:sz w:val="19"/>
          <w:szCs w:val="19"/>
        </w:rPr>
        <w:t xml:space="preserve">Cualquier persona autorizada busca una serie, una orden, un lote de insumo o un remito y ve hacia atrás (de dónde viene) y hacia adelante (dónde está). Meta: menos de 2 minutos (criterio), probada con un simulacro por semestre. Si un insumo resulta defectuoso, la misma búsqueda da las series afectadas, dónde están y a quién avisar (P-12).</w:t>
      </w:r>
    </w:p>
    <w:p>
      <w:pPr>
        <w:keepNext/>
        <w:spacing w:after="60"/>
        <w:jc w:val="center"/>
      </w:pPr>
      <w:r>
        <w:drawing>
          <wp:inline distT="0" distB="0" distL="0" distR="0">
            <wp:extent cx="5943600" cy="41243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Traza de la serie 26-005480: hacia atrás (orden, partida, insumos registrados) y hacia adelante (estado y custodia).</w:t>
      </w:r>
    </w:p>
    <w:p>
      <w:pPr>
        <w:pStyle w:val="Heading2"/>
        <w:keepNext/>
        <w:spacing w:after="80" w:before="180" w:line="276"/>
      </w:pPr>
      <w:r>
        <w:rPr>
          <w:rFonts w:ascii="Arial" w:cs="Arial" w:eastAsia="Arial" w:hAnsi="Arial"/>
          <w:color w:val="000000"/>
          <w:sz w:val="19"/>
          <w:szCs w:val="19"/>
        </w:rPr>
        <w:t xml:space="preserve">13.5 Contingencias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pasa esto</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hace esto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 en planta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sigue en papel; cierre y etiquetado se cargan al volver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no lee el grabado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queda como lectura manual y se revisa en el cierre</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pierde la etiqueta QR</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lee el grabado y reimprime con el mismo QR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ilegible y sin etiqueta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número no hay trazabilidad: se inutiliza (IRAM 3517-2 anexo F)</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base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trabaja con la copia nocturna en Sheets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Falta el contraste del manómetro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prueba hidráulica queda bloqueada (Res. 349/07 art. 20)</w:t>
            </w:r>
          </w:p>
        </w:tc>
      </w:tr>
    </w:tbl>
    <w:p>
      <w:pPr>
        <w:spacing w:after="120"/>
      </w:pPr>
    </w:p>
    <w:p>
      <w:pPr>
        <w:pStyle w:val="Heading1"/>
        <w:keepNext/>
        <w:spacing w:after="120" w:before="240" w:line="276"/>
      </w:pPr>
      <w:r>
        <w:rPr>
          <w:rFonts w:ascii="Arial" w:cs="Arial" w:eastAsia="Arial" w:hAnsi="Arial"/>
          <w:color w:val="000000"/>
          <w:sz w:val="19"/>
          <w:szCs w:val="19"/>
        </w:rPr>
        <w:t xml:space="preserve">14. Análisis de desvíos</w:t>
      </w:r>
    </w:p>
    <w:p>
      <w:pPr>
        <w:spacing w:after="100" w:before="0" w:line="276"/>
      </w:pPr>
      <w:r>
        <w:rPr>
          <w:rFonts w:ascii="Arial" w:cs="Arial" w:eastAsia="Arial" w:hAnsi="Arial"/>
          <w:color w:val="000000"/>
          <w:sz w:val="19"/>
          <w:szCs w:val="19"/>
        </w:rPr>
        <w:t xml:space="preserve">Cada rechazo, recepción sin confirmar, reclamo fuera de plazo o control de medición vencido queda a la vista en el tablero y puede abrir un registro de desvío (RD) con causa, acción correctiva y verificación. Las reglas de abajo se revisan con cada evento; los umbrales marcados «criterio» los fija FLAMA.</w:t>
      </w:r>
    </w:p>
    <w:p>
      <w:pPr>
        <w:pStyle w:val="Heading2"/>
        <w:keepNext/>
        <w:spacing w:after="80" w:before="180" w:line="276"/>
      </w:pPr>
      <w:r>
        <w:rPr>
          <w:rFonts w:ascii="Arial" w:cs="Arial" w:eastAsia="Arial" w:hAnsi="Arial"/>
          <w:color w:val="000000"/>
          <w:sz w:val="19"/>
          <w:szCs w:val="19"/>
        </w:rPr>
        <w:t xml:space="preserve">14.1 Reglas que abren un desvío solas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2914"/>
        <w:gridCol w:w="1748"/>
        <w:gridCol w:w="2913"/>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mira</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Umbral</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9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 con ✗</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serie y abre un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Fallas en PH de un lote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el LCS de la carta p</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retiene el lote para re-ensayo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fuera de 5,00-5,30 kg (DOC-02)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y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punto fuera de 3 σ o 7 seguidos del mismo lado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calidad (sin rechazo)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de PH</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15 días (Res. 349/07 art. 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PH</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sin confirmar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ventas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contacto a las 24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sube al jefe de calidad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de datos personales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2 días del vencimiento legal</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atención</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vencido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mes siguiente al vencimiento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y al recargador</w:t>
            </w:r>
          </w:p>
        </w:tc>
      </w:tr>
    </w:tbl>
    <w:p>
      <w:pPr>
        <w:spacing w:after="120"/>
      </w:pPr>
    </w:p>
    <w:p>
      <w:pPr>
        <w:pStyle w:val="Heading2"/>
        <w:keepNext/>
        <w:spacing w:after="80" w:before="180" w:line="276"/>
      </w:pPr>
      <w:r>
        <w:rPr>
          <w:rFonts w:ascii="Arial" w:cs="Arial" w:eastAsia="Arial" w:hAnsi="Arial"/>
          <w:color w:val="000000"/>
          <w:sz w:val="19"/>
          <w:szCs w:val="19"/>
        </w:rPr>
        <w:t xml:space="preserve">14.2 Seguimiento en el sistema</w:t>
      </w:r>
    </w:p>
    <w:p>
      <w:pPr>
        <w:keepNext/>
        <w:spacing w:after="60"/>
        <w:jc w:val="center"/>
      </w:pPr>
      <w:r>
        <w:drawing>
          <wp:inline distT="0" distB="0" distL="0" distR="0">
            <wp:extent cx="5943600" cy="41243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4124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Rechazos por causa y equipos de medición; los desvíos se cargan y cierran en el módulo Desvíos.</w:t>
      </w:r>
    </w:p>
    <w:p>
      <w:pPr>
        <w:pStyle w:val="Heading2"/>
        <w:keepNext/>
        <w:spacing w:after="80" w:before="180" w:line="276"/>
      </w:pPr>
      <w:r>
        <w:rPr>
          <w:rFonts w:ascii="Arial" w:cs="Arial" w:eastAsia="Arial" w:hAnsi="Arial"/>
          <w:color w:val="000000"/>
          <w:sz w:val="19"/>
          <w:szCs w:val="19"/>
        </w:rPr>
        <w:t xml:space="preserve">14.3 Registro de desvíos</w:t>
      </w:r>
    </w:p>
    <w:p>
      <w:pPr>
        <w:spacing w:after="100" w:before="0" w:line="276"/>
      </w:pPr>
      <w:r>
        <w:rPr>
          <w:rFonts w:ascii="Arial" w:cs="Arial" w:eastAsia="Arial" w:hAnsi="Arial"/>
          <w:color w:val="000000"/>
          <w:sz w:val="19"/>
          <w:szCs w:val="19"/>
        </w:rPr>
        <w:t xml:space="preserve">El registro arranca vacío y se completa en el sistema. Cada desvío tiene estos campos: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Campo</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registra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número correlativo del año (RD-26-001)</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Origen</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 proveedor, custodia, cliente o registro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Referencia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serie, lote de insumo o remito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Severidad</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 mayor o crítica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Qué pasó</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descripción del hecho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Causa raíz</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porqué del análisis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Acción correctiva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qué se cambia y quién</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Verificación</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dato que muestra que no volvió a pasar</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 en curso o cerrado</w:t>
            </w:r>
          </w:p>
        </w:tc>
      </w:tr>
    </w:tbl>
    <w:p>
      <w:pPr>
        <w:spacing w:after="120"/>
      </w:pPr>
    </w:p>
    <w:p>
      <w:pPr>
        <w:spacing w:after="100" w:before="0" w:line="276"/>
      </w:pPr>
      <w:r>
        <w:rPr>
          <w:rFonts w:ascii="Arial" w:cs="Arial" w:eastAsia="Arial" w:hAnsi="Arial"/>
          <w:color w:val="000000"/>
          <w:sz w:val="19"/>
          <w:szCs w:val="19"/>
        </w:rPr>
        <w:t xml:space="preserve">Ningún desvío se cierra sin la verificación: la prueba, en datos, de que no volvió a pasar.</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zqcsz0fsi-djcynvot1nv">
        <w:r>
          <w:rPr>
            <w:rFonts w:ascii="Arial" w:cs="Arial" w:eastAsia="Arial" w:hAnsi="Arial"/>
            <w:color w:val="1F1F1F"/>
            <w:sz w:val="19"/>
            <w:szCs w:val="19"/>
            <w:u w:val="single"/>
          </w:rPr>
          <w:t xml:space="preserve">ISO 9001:2015 8.5.2 explicado</w:t>
        </w:r>
      </w:hyperlink>
    </w:p>
    <w:p>
      <w:pPr>
        <w:pStyle w:val="ListParagraph"/>
        <w:numPr>
          <w:ilvl w:val="0"/>
          <w:numId w:val="2"/>
        </w:numPr>
        <w:spacing w:after="40" w:before="0" w:line="276"/>
      </w:pPr>
      <w:hyperlink w:history="1" r:id="rIddaglgsnioqxpfidd4xkug">
        <w:r>
          <w:rPr>
            <w:rFonts w:ascii="Arial" w:cs="Arial" w:eastAsia="Arial" w:hAnsi="Arial"/>
            <w:color w:val="1F1F1F"/>
            <w:sz w:val="19"/>
            <w:szCs w:val="19"/>
            <w:u w:val="single"/>
          </w:rPr>
          <w:t xml:space="preserve">Lectores en modo teclado (Tallyfy)</w:t>
        </w:r>
      </w:hyperlink>
    </w:p>
    <w:p>
      <w:pPr>
        <w:pStyle w:val="ListParagraph"/>
        <w:numPr>
          <w:ilvl w:val="0"/>
          <w:numId w:val="2"/>
        </w:numPr>
        <w:spacing w:after="40" w:before="0" w:line="276"/>
      </w:pPr>
      <w:hyperlink w:history="1" r:id="rIdzt8ffwwbmqaxc9wrljq4q">
        <w:r>
          <w:rPr>
            <w:rFonts w:ascii="Arial" w:cs="Arial" w:eastAsia="Arial" w:hAnsi="Arial"/>
            <w:color w:val="1F1F1F"/>
            <w:sz w:val="19"/>
            <w:szCs w:val="19"/>
            <w:u w:val="single"/>
          </w:rPr>
          <w:t xml:space="preserve">Cognex DataMan 8700</w:t>
        </w:r>
      </w:hyperlink>
    </w:p>
    <w:p>
      <w:pPr>
        <w:pStyle w:val="ListParagraph"/>
        <w:numPr>
          <w:ilvl w:val="0"/>
          <w:numId w:val="2"/>
        </w:numPr>
        <w:spacing w:after="40" w:before="0" w:line="276"/>
      </w:pPr>
      <w:hyperlink w:history="1" r:id="rId_i6i_lhgafup6e8bbea2u">
        <w:r>
          <w:rPr>
            <w:rFonts w:ascii="Arial" w:cs="Arial" w:eastAsia="Arial" w:hAnsi="Arial"/>
            <w:color w:val="1F1F1F"/>
            <w:sz w:val="19"/>
            <w:szCs w:val="19"/>
            <w:u w:val="single"/>
          </w:rPr>
          <w:t xml:space="preserve">Pryor MarkMaster Networked</w:t>
        </w:r>
      </w:hyperlink>
    </w:p>
    <w:p>
      <w:pPr>
        <w:pStyle w:val="ListParagraph"/>
        <w:numPr>
          <w:ilvl w:val="0"/>
          <w:numId w:val="2"/>
        </w:numPr>
        <w:spacing w:after="40" w:before="0" w:line="276"/>
      </w:pPr>
      <w:hyperlink w:history="1" r:id="rIdtgqhy-bneyp87jlwuooep">
        <w:r>
          <w:rPr>
            <w:rFonts w:ascii="Arial" w:cs="Arial" w:eastAsia="Arial" w:hAnsi="Arial"/>
            <w:color w:val="1F1F1F"/>
            <w:sz w:val="19"/>
            <w:szCs w:val="19"/>
            <w:u w:val="single"/>
          </w:rPr>
          <w:t xml:space="preserve">Brady / Mecco EtherMark</w:t>
        </w:r>
      </w:hyperlink>
    </w:p>
    <w:p>
      <w:pPr>
        <w:pStyle w:val="ListParagraph"/>
        <w:numPr>
          <w:ilvl w:val="0"/>
          <w:numId w:val="2"/>
        </w:numPr>
        <w:spacing w:after="40" w:before="0" w:line="276"/>
      </w:pPr>
      <w:hyperlink w:history="1" r:id="rIdwiyyjcvnbmw41sul1w36m">
        <w:r>
          <w:rPr>
            <w:rFonts w:ascii="Arial" w:cs="Arial" w:eastAsia="Arial" w:hAnsi="Arial"/>
            <w:color w:val="1F1F1F"/>
            <w:sz w:val="19"/>
            <w:szCs w:val="19"/>
            <w:u w:val="single"/>
          </w:rPr>
          <w:t xml:space="preserve">Zebra Browser Print</w:t>
        </w:r>
      </w:hyperlink>
    </w:p>
    <w:p>
      <w:pPr>
        <w:pStyle w:val="ListParagraph"/>
        <w:numPr>
          <w:ilvl w:val="0"/>
          <w:numId w:val="2"/>
        </w:numPr>
        <w:spacing w:after="40" w:before="0" w:line="276"/>
      </w:pPr>
      <w:hyperlink w:history="1" r:id="rIdghnozytwt6t5rckxwsvv2">
        <w:r>
          <w:rPr>
            <w:rFonts w:ascii="Arial" w:cs="Arial" w:eastAsia="Arial" w:hAnsi="Arial"/>
            <w:color w:val="1F1F1F"/>
            <w:sz w:val="19"/>
            <w:szCs w:val="19"/>
            <w:u w:val="single"/>
          </w:rPr>
          <w:t xml:space="preserve">Etiquetas Zebra Z-Ultimate (UL 969)</w:t>
        </w:r>
      </w:hyperlink>
    </w:p>
    <w:p>
      <w:pPr>
        <w:pStyle w:val="ListParagraph"/>
        <w:numPr>
          <w:ilvl w:val="0"/>
          <w:numId w:val="2"/>
        </w:numPr>
        <w:spacing w:after="40" w:before="0" w:line="276"/>
      </w:pPr>
      <w:hyperlink w:history="1" r:id="rIdo2dtjag2zsumi6ict4ydi">
        <w:r>
          <w:rPr>
            <w:rFonts w:ascii="Arial" w:cs="Arial" w:eastAsia="Arial" w:hAnsi="Arial"/>
            <w:color w:val="1F1F1F"/>
            <w:sz w:val="19"/>
            <w:szCs w:val="19"/>
            <w:u w:val="single"/>
          </w:rPr>
          <w:t xml:space="preserve">GS1 Digital Link</w:t>
        </w:r>
      </w:hyperlink>
    </w:p>
    <w:p>
      <w:pPr>
        <w:pStyle w:val="ListParagraph"/>
        <w:numPr>
          <w:ilvl w:val="0"/>
          <w:numId w:val="2"/>
        </w:numPr>
        <w:spacing w:after="40" w:before="0" w:line="276"/>
      </w:pPr>
      <w:hyperlink w:history="1" r:id="rIdrlrjickik4-kxr_6gw2dp">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i527i7-6dwtdffm2r48dy">
        <w:r>
          <w:rPr>
            <w:rFonts w:ascii="Arial" w:cs="Arial" w:eastAsia="Arial" w:hAnsi="Arial"/>
            <w:color w:val="1F1F1F"/>
            <w:sz w:val="19"/>
            <w:szCs w:val="19"/>
            <w:u w:val="single"/>
          </w:rPr>
          <w:t xml:space="preserve">Res. 195/97 (texto)</w:t>
        </w:r>
      </w:hyperlink>
    </w:p>
    <w:p>
      <w:pPr>
        <w:pStyle w:val="ListParagraph"/>
        <w:numPr>
          <w:ilvl w:val="0"/>
          <w:numId w:val="2"/>
        </w:numPr>
        <w:spacing w:after="40" w:before="0" w:line="276"/>
      </w:pPr>
      <w:hyperlink w:history="1" r:id="rId5e_x5j5nbvdugeru2_1ki">
        <w:r>
          <w:rPr>
            <w:rFonts w:ascii="Arial" w:cs="Arial" w:eastAsia="Arial" w:hAnsi="Arial"/>
            <w:color w:val="1F1F1F"/>
            <w:sz w:val="19"/>
            <w:szCs w:val="19"/>
            <w:u w:val="single"/>
          </w:rPr>
          <w:t xml:space="preserve">Lista ONU de mercancías peligrosas</w:t>
        </w:r>
      </w:hyperlink>
    </w:p>
    <w:p>
      <w:pPr>
        <w:pStyle w:val="ListParagraph"/>
        <w:numPr>
          <w:ilvl w:val="0"/>
          <w:numId w:val="2"/>
        </w:numPr>
        <w:spacing w:after="40" w:before="0" w:line="276"/>
      </w:pPr>
      <w:hyperlink w:history="1" r:id="rIdzldq6yxkb2frcoehb7_yg">
        <w:r>
          <w:rPr>
            <w:rFonts w:ascii="Arial" w:cs="Arial" w:eastAsia="Arial" w:hAnsi="Arial"/>
            <w:color w:val="1F1F1F"/>
            <w:sz w:val="19"/>
            <w:szCs w:val="19"/>
            <w:u w:val="single"/>
          </w:rPr>
          <w:t xml:space="preserve">CCyCN art. 1298</w:t>
        </w:r>
      </w:hyperlink>
    </w:p>
    <w:p>
      <w:pPr>
        <w:pStyle w:val="ListParagraph"/>
        <w:numPr>
          <w:ilvl w:val="0"/>
          <w:numId w:val="2"/>
        </w:numPr>
        <w:spacing w:after="40" w:before="0" w:line="276"/>
      </w:pPr>
      <w:hyperlink w:history="1" r:id="rIdxwgxiczphwuwiqjsq-wux">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nmh_nuh3rdqo-c-qdpimb">
        <w:r>
          <w:rPr>
            <w:rFonts w:ascii="Arial" w:cs="Arial" w:eastAsia="Arial" w:hAnsi="Arial"/>
            <w:color w:val="1F1F1F"/>
            <w:sz w:val="19"/>
            <w:szCs w:val="19"/>
            <w:u w:val="single"/>
          </w:rPr>
          <w:t xml:space="preserve">GCBA: logística nocturna</w:t>
        </w:r>
      </w:hyperlink>
    </w:p>
    <w:p>
      <w:pPr>
        <w:pStyle w:val="ListParagraph"/>
        <w:numPr>
          <w:ilvl w:val="0"/>
          <w:numId w:val="2"/>
        </w:numPr>
        <w:spacing w:after="40" w:before="0" w:line="276"/>
      </w:pPr>
      <w:hyperlink w:history="1" r:id="rIdy9bvxl4vefvzlhyozc4k6">
        <w:r>
          <w:rPr>
            <w:rFonts w:ascii="Arial" w:cs="Arial" w:eastAsia="Arial" w:hAnsi="Arial"/>
            <w:color w:val="1F1F1F"/>
            <w:sz w:val="19"/>
            <w:szCs w:val="19"/>
            <w:u w:val="single"/>
          </w:rPr>
          <w:t xml:space="preserve">Pannier ADP120160D</w:t>
        </w:r>
      </w:hyperlink>
    </w:p>
    <w:p>
      <w:pPr>
        <w:pStyle w:val="ListParagraph"/>
        <w:numPr>
          <w:ilvl w:val="0"/>
          <w:numId w:val="2"/>
        </w:numPr>
        <w:spacing w:after="40" w:before="0" w:line="276"/>
      </w:pPr>
      <w:hyperlink w:history="1" r:id="rIdtywnwixdaf9u9bc6e5vrw">
        <w:r>
          <w:rPr>
            <w:rFonts w:ascii="Arial" w:cs="Arial" w:eastAsia="Arial" w:hAnsi="Arial"/>
            <w:color w:val="1F1F1F"/>
            <w:sz w:val="19"/>
            <w:szCs w:val="19"/>
            <w:u w:val="single"/>
          </w:rPr>
          <w:t xml:space="preserve">The Fabricator: micropercusión bajo pintura</w:t>
        </w:r>
      </w:hyperlink>
    </w:p>
    <w:p>
      <w:pPr>
        <w:pStyle w:val="ListParagraph"/>
        <w:numPr>
          <w:ilvl w:val="0"/>
          <w:numId w:val="2"/>
        </w:numPr>
        <w:spacing w:after="40" w:before="0" w:line="276"/>
      </w:pPr>
      <w:hyperlink w:history="1" r:id="rIdc9gqop3ceci2-akzrzdb2">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s1xdp3ajjnnpsdufuhbej">
        <w:r>
          <w:rPr>
            <w:rFonts w:ascii="Arial" w:cs="Arial" w:eastAsia="Arial" w:hAnsi="Arial"/>
            <w:color w:val="1F1F1F"/>
            <w:sz w:val="19"/>
            <w:szCs w:val="19"/>
            <w:u w:val="single"/>
          </w:rPr>
          <w:t xml:space="preserve">Ley 24.240 (texto actualizado)</w:t>
        </w:r>
      </w:hyperlink>
    </w:p>
    <w:p>
      <w:pPr>
        <w:pStyle w:val="ListParagraph"/>
        <w:numPr>
          <w:ilvl w:val="0"/>
          <w:numId w:val="2"/>
        </w:numPr>
        <w:spacing w:after="40" w:before="0" w:line="276"/>
      </w:pPr>
      <w:hyperlink w:history="1" r:id="rIdrs2f7aynzaq5n2mmud7oj">
        <w:r>
          <w:rPr>
            <w:rFonts w:ascii="Arial" w:cs="Arial" w:eastAsia="Arial" w:hAnsi="Arial"/>
            <w:color w:val="1F1F1F"/>
            <w:sz w:val="19"/>
            <w:szCs w:val="19"/>
            <w:u w:val="single"/>
          </w:rPr>
          <w:t xml:space="preserve">Ley 25.326 (texto actualizado)</w:t>
        </w:r>
      </w:hyperlink>
    </w:p>
    <w:p>
      <w:pPr>
        <w:pStyle w:val="ListParagraph"/>
        <w:numPr>
          <w:ilvl w:val="0"/>
          <w:numId w:val="2"/>
        </w:numPr>
        <w:spacing w:after="40" w:before="0" w:line="276"/>
      </w:pPr>
      <w:hyperlink w:history="1" r:id="rId4v3lwt3eme_0j2lbfx4ts">
        <w:r>
          <w:rPr>
            <w:rFonts w:ascii="Arial" w:cs="Arial" w:eastAsia="Arial" w:hAnsi="Arial"/>
            <w:color w:val="1F1F1F"/>
            <w:sz w:val="19"/>
            <w:szCs w:val="19"/>
            <w:u w:val="single"/>
          </w:rPr>
          <w:t xml:space="preserve">Res. SCI 424/2020</w:t>
        </w:r>
      </w:hyperlink>
    </w:p>
    <w:p>
      <w:pPr>
        <w:pStyle w:val="ListParagraph"/>
        <w:numPr>
          <w:ilvl w:val="0"/>
          <w:numId w:val="2"/>
        </w:numPr>
        <w:spacing w:after="40" w:before="0" w:line="276"/>
      </w:pPr>
      <w:r>
        <w:rPr>
          <w:rFonts w:ascii="Arial" w:cs="Arial" w:eastAsia="Arial" w:hAnsi="Arial"/>
          <w:color w:val="000000"/>
          <w:sz w:val="19"/>
          <w:szCs w:val="19"/>
        </w:rPr>
        <w:t xml:space="preserve">IRAM 3523 5.1 · IRAM 3525 5.1 · IRAM 3550 5.1 · IRAM 3517-2:2020 (5.3, 6.2.14, 7.3, 9.2, 9.4.5, 9.4.13, 9.4.14, 9.4.16, 9.6, 9.7, 9.10, 9.11, 9.12, tabla 3, anexos E, F y G) · Res. 349/07 PBA (art. 7-9, 19-29, 32, 33, 43-46, anexos I-IV) · Res. 32-AGC/15 CABA (anexos I-III) · Ley 26.993 · IRAM-ISO 10002. Se citan, no se transcriben. Documentos FLAMA: DOC-01, DOC-02, planos FL_MAT y FL_SUS, modelo 3D.</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3ftlqesi6_rjr0uemznxa" Type="http://schemas.openxmlformats.org/officeDocument/2006/relationships/hyperlink" Target="https://www.thecoresolution.com/clause-8-5-2-iso-9001-2015-explained" TargetMode="External"/><Relationship Id="rIdolbuotr2oanfdqtmbmvvw" Type="http://schemas.openxmlformats.org/officeDocument/2006/relationships/hyperlink" Target="https://tallyfy.com/products/pro/tracking-and-tasks/tasks/scanner-and-rfid-integration/" TargetMode="External"/><Relationship Id="rId17ssy6b1sxcvi8-3myhp_" Type="http://schemas.openxmlformats.org/officeDocument/2006/relationships/hyperlink" Target="https://www.cognex.com/blogs/industrial-barcode-reader/solve-barcode-reading-challenges-with-newest-handheld-barcode-reader" TargetMode="External"/><Relationship Id="rIdnhryttlake_30gm-zptth" Type="http://schemas.openxmlformats.org/officeDocument/2006/relationships/hyperlink" Target="https://machines.pryormarking.com/product/markmaster-networked-software/" TargetMode="External"/><Relationship Id="rIdmohdjy2rzrbpmjyktv33k" Type="http://schemas.openxmlformats.org/officeDocument/2006/relationships/hyperlink" Target="https://www.mecco.com/product-ethermark" TargetMode="External"/><Relationship Id="rIdwg4qpkzsacwgpuuxs274n" Type="http://schemas.openxmlformats.org/officeDocument/2006/relationships/hyperlink" Target="https://developer.zebra.com/blog/printing-websites-part-3" TargetMode="External"/><Relationship Id="rIdsysg0cbjuom9570il39kk" Type="http://schemas.openxmlformats.org/officeDocument/2006/relationships/hyperlink" Target="https://www.gs1uk.org/standards-services/get-market-ready/connect-to-consumer/guides-resources/how-to-use-the-gs1-uk-resolver-service" TargetMode="External"/><Relationship Id="rIdhvzk3h93_nndccsjffcxj" Type="http://schemas.openxmlformats.org/officeDocument/2006/relationships/hyperlink" Target="https://www.argentina.gob.ar/normativa/nacional/resoluci%C3%B3n-195-1997-44765/texto" TargetMode="External"/><Relationship Id="rIdkhcbgp3yf_2r2noggrudb" Type="http://schemas.openxmlformats.org/officeDocument/2006/relationships/hyperlink" Target="https://unece.org/DAM/trans/danger/publi/unrec/rev13/Spanish/03_Part3.pdf" TargetMode="External"/><Relationship Id="rId1ra13iw-8gdixzumevifv" Type="http://schemas.openxmlformats.org/officeDocument/2006/relationships/hyperlink" Target="https://www.conceptosjuridicos.com/ar/articulos/codigo-civil-y-comercial-articulo-1298/" TargetMode="External"/><Relationship Id="rIdcse8bzdjrumgidbdk34vt" Type="http://schemas.openxmlformats.org/officeDocument/2006/relationships/hyperlink" Target="https://web.arba.gov.ar/sites/default/files/2024-02/COT%20C%C3%B3digo%20de%20Operaci%C3%B3n%20Traslado%20o%20Transporteggti.pdf" TargetMode="External"/><Relationship Id="rIdpuxqdizn-qjg1l43xlf9e" Type="http://schemas.openxmlformats.org/officeDocument/2006/relationships/hyperlink" Target="https://buenosaires.gob.ar/gcaba_historico/infraestructura/logistica-nocturna-en-carriles-exclusivos" TargetMode="External"/><Relationship Id="rIdmbqpzju9fh33qm6ddy6uh" Type="http://schemas.openxmlformats.org/officeDocument/2006/relationships/hyperlink" Target="https://economis.com.ar/?p=438705" TargetMode="External"/><Relationship Id="rIdtvxruce4pp-uvk2ja-cxo" Type="http://schemas.openxmlformats.org/officeDocument/2006/relationships/hyperlink" Target="https://www.atlasrfidstore.com/zebra-2-x-1-z-ultimate-3000t-thermal-transfer-label-for-desktop-printers-case-of-12-rolls-2-530-labels-per-roll/" TargetMode="External"/><Relationship Id="rIdn1smfiyxypbuyt_etzhc1" Type="http://schemas.openxmlformats.org/officeDocument/2006/relationships/hyperlink" Target="https://GS1.org/docs/epcis/epcis_2-0_launch.pdf" TargetMode="External"/><Relationship Id="rIdzqcsz0fsi-djcynvot1nv" Type="http://schemas.openxmlformats.org/officeDocument/2006/relationships/hyperlink" Target="https://www.thecoresolution.com/clause-8-5-2-iso-9001-2015-explained" TargetMode="External"/><Relationship Id="rIddaglgsnioqxpfidd4xkug" Type="http://schemas.openxmlformats.org/officeDocument/2006/relationships/hyperlink" Target="https://tallyfy.com/products/pro/tracking-and-tasks/tasks/scanner-and-rfid-integration/" TargetMode="External"/><Relationship Id="rIdzt8ffwwbmqaxc9wrljq4q" Type="http://schemas.openxmlformats.org/officeDocument/2006/relationships/hyperlink" Target="https://www.cognex.com/blogs/industrial-barcode-reader/solve-barcode-reading-challenges-with-newest-handheld-barcode-reader" TargetMode="External"/><Relationship Id="rId_i6i_lhgafup6e8bbea2u" Type="http://schemas.openxmlformats.org/officeDocument/2006/relationships/hyperlink" Target="https://machines.pryormarking.com/product/markmaster-networked-software/" TargetMode="External"/><Relationship Id="rIdtgqhy-bneyp87jlwuooep" Type="http://schemas.openxmlformats.org/officeDocument/2006/relationships/hyperlink" Target="https://www.mecco.com/product-ethermark" TargetMode="External"/><Relationship Id="rIdwiyyjcvnbmw41sul1w36m" Type="http://schemas.openxmlformats.org/officeDocument/2006/relationships/hyperlink" Target="https://developer.zebra.com/blog/printing-websites-part-3" TargetMode="External"/><Relationship Id="rIdghnozytwt6t5rckxwsvv2" Type="http://schemas.openxmlformats.org/officeDocument/2006/relationships/hyperlink" Target="https://www.atlasrfidstore.com/zebra-2-x-1-z-ultimate-3000t-thermal-transfer-label-for-desktop-printers-case-of-12-rolls-2-530-labels-per-roll/" TargetMode="External"/><Relationship Id="rIdo2dtjag2zsumi6ict4ydi" Type="http://schemas.openxmlformats.org/officeDocument/2006/relationships/hyperlink" Target="https://www.gs1uk.org/standards-services/get-market-ready/connect-to-consumer/guides-resources/how-to-use-the-gs1-uk-resolver-service" TargetMode="External"/><Relationship Id="rIdrlrjickik4-kxr_6gw2dp" Type="http://schemas.openxmlformats.org/officeDocument/2006/relationships/hyperlink" Target="https://GS1.org/docs/epcis/epcis_2-0_launch.pdf" TargetMode="External"/><Relationship Id="rIdi527i7-6dwtdffm2r48dy" Type="http://schemas.openxmlformats.org/officeDocument/2006/relationships/hyperlink" Target="https://www.argentina.gob.ar/normativa/nacional/resoluci%C3%B3n-195-1997-44765/texto" TargetMode="External"/><Relationship Id="rId5e_x5j5nbvdugeru2_1ki" Type="http://schemas.openxmlformats.org/officeDocument/2006/relationships/hyperlink" Target="https://unece.org/DAM/trans/danger/publi/unrec/rev13/Spanish/03_Part3.pdf" TargetMode="External"/><Relationship Id="rIdzldq6yxkb2frcoehb7_yg" Type="http://schemas.openxmlformats.org/officeDocument/2006/relationships/hyperlink" Target="https://www.conceptosjuridicos.com/ar/articulos/codigo-civil-y-comercial-articulo-1298/" TargetMode="External"/><Relationship Id="rIdxwgxiczphwuwiqjsq-wux" Type="http://schemas.openxmlformats.org/officeDocument/2006/relationships/hyperlink" Target="https://web.arba.gov.ar/sites/default/files/2024-02/COT%20C%C3%B3digo%20de%20Operaci%C3%B3n%20Traslado%20o%20Transporteggti.pdf" TargetMode="External"/><Relationship Id="rIdnmh_nuh3rdqo-c-qdpimb" Type="http://schemas.openxmlformats.org/officeDocument/2006/relationships/hyperlink" Target="https://buenosaires.gob.ar/gcaba_historico/infraestructura/logistica-nocturna-en-carriles-exclusivos" TargetMode="External"/><Relationship Id="rIdy9bvxl4vefvzlhyozc4k6" Type="http://schemas.openxmlformats.org/officeDocument/2006/relationships/hyperlink" Target="https://www.directindustry.com/prod/pannier/product-24420-679289.html" TargetMode="External"/><Relationship Id="rIdtywnwixdaf9u9bc6e5vrw" Type="http://schemas.openxmlformats.org/officeDocument/2006/relationships/hyperlink" Target="https://www.thefabricator.com/thefabricator/product/shopmanagement/dot-peen-system-makes-marks-that-are-readable-after-coating" TargetMode="External"/><Relationship Id="rIdc9gqop3ceci2-akzrzdb2" Type="http://schemas.openxmlformats.org/officeDocument/2006/relationships/hyperlink" Target="https://economis.com.ar/?p=438705" TargetMode="External"/><Relationship Id="rIds1xdp3ajjnnpsdufuhbej" Type="http://schemas.openxmlformats.org/officeDocument/2006/relationships/hyperlink" Target="http://servicios.infoleg.gob.ar/infolegInternet/anexos/0-4999/638/texact.htm" TargetMode="External"/><Relationship Id="rIdrs2f7aynzaq5n2mmud7oj" Type="http://schemas.openxmlformats.org/officeDocument/2006/relationships/hyperlink" Target="http://servicios.infoleg.gob.ar/infolegInternet/anexos/60000-64999/64790/texact.htm" TargetMode="External"/><Relationship Id="rId4v3lwt3eme_0j2lbfx4ts" Type="http://schemas.openxmlformats.org/officeDocument/2006/relationships/hyperlink" Target="https://www.argentina.gob.ar/normativa/nacional/norma-342869/texto" TargetMode="External"/><Relationship Id="rId43" Type="http://schemas.openxmlformats.org/officeDocument/2006/relationships/image" Target="media/354ac16698fbcacec0b82afce05e218fcf7f16fe.png"/><Relationship Id="rId44" Type="http://schemas.openxmlformats.org/officeDocument/2006/relationships/image" Target="media/120e019eea4b57b0c1331925963356676087e369.png"/><Relationship Id="rId45" Type="http://schemas.openxmlformats.org/officeDocument/2006/relationships/image" Target="media/366bba9bfb5fc2dced766c6613891608c4bbf290.png"/><Relationship Id="rId46" Type="http://schemas.openxmlformats.org/officeDocument/2006/relationships/image" Target="media/5b15b7aa37fdfb02de08db81272e44bbe56feceb.png"/><Relationship Id="rId47" Type="http://schemas.openxmlformats.org/officeDocument/2006/relationships/image" Target="media/416a5e3f5656993af71caa0c653064e7267ab620.png"/><Relationship Id="rId48" Type="http://schemas.openxmlformats.org/officeDocument/2006/relationships/image" Target="media/70edbeb210a1919d1ab2ccc935f834b12a5db04f.png"/><Relationship Id="rId49" Type="http://schemas.openxmlformats.org/officeDocument/2006/relationships/image" Target="media/9066f4689c49a675113a0bfc81a9b5ad93c0cc56.png"/><Relationship Id="rId50" Type="http://schemas.openxmlformats.org/officeDocument/2006/relationships/image" Target="media/0d2a673b32900ffa4555f208ed7a41b0f19ef10c.png"/><Relationship Id="rId51" Type="http://schemas.openxmlformats.org/officeDocument/2006/relationships/image" Target="media/6ce02e6efe8d6c8077404974e7f5e99d67f526b5.png"/><Relationship Id="rId52" Type="http://schemas.openxmlformats.org/officeDocument/2006/relationships/image" Target="media/203f14485e77747e7f6fef10a9443e37cb944b0f.png"/><Relationship Id="rId53" Type="http://schemas.openxmlformats.org/officeDocument/2006/relationships/image" Target="media/586e04057b2bf643956f6aa383ee6241ecefb7a0.png"/><Relationship Id="rId54" Type="http://schemas.openxmlformats.org/officeDocument/2006/relationships/image" Target="media/6d207a4528ec326ec4bf325dd3c21b3f5ac4b937.png"/><Relationship Id="rId55" Type="http://schemas.openxmlformats.org/officeDocument/2006/relationships/image" Target="media/49c8603d0d19fe148cce2e4f95ac9fb4575c4111.png"/><Relationship Id="rId56" Type="http://schemas.openxmlformats.org/officeDocument/2006/relationships/image" Target="media/e9f82d2fd770a16161983e24cca1cbfd7432deb2.png"/><Relationship Id="rId57" Type="http://schemas.openxmlformats.org/officeDocument/2006/relationships/image" Target="media/440e731734cfab793e23d57c0e5eaa346e48152a.png"/><Relationship Id="rId58" Type="http://schemas.openxmlformats.org/officeDocument/2006/relationships/image" Target="media/35cf23067d452879e8761820098723497e559a05.png"/><Relationship Id="rId59" Type="http://schemas.openxmlformats.org/officeDocument/2006/relationships/image" Target="media/aad77040228d82b70aca4e1cee39f8e4cec67f8e.png"/><Relationship Id="rId60" Type="http://schemas.openxmlformats.org/officeDocument/2006/relationships/image" Target="media/3a05e9719bbe6dffb7ba5b646ed0698704e88459.png"/><Relationship Id="rId61" Type="http://schemas.openxmlformats.org/officeDocument/2006/relationships/image" Target="media/3b2f9710831b017bdb421ca9f34a29940c37ec43.png"/><Relationship Id="rId62" Type="http://schemas.openxmlformats.org/officeDocument/2006/relationships/image" Target="media/3289b710889ff3b93da769303bea993a3ba010a5.png"/><Relationship Id="rId63" Type="http://schemas.openxmlformats.org/officeDocument/2006/relationships/image" Target="media/38fe4b6d99435c495feee2199a1db5f6593c3459.png"/><Relationship Id="rId64" Type="http://schemas.openxmlformats.org/officeDocument/2006/relationships/image" Target="media/02a14cdcf865616f7460d960b52756078326cc5c.png"/><Relationship Id="rId65" Type="http://schemas.openxmlformats.org/officeDocument/2006/relationships/image" Target="media/3f4467148bf8ae86be4c68ddee9b93334eff0280.png"/><Relationship Id="rId66" Type="http://schemas.openxmlformats.org/officeDocument/2006/relationships/image" Target="media/c67faadb56ad17973124128641edcc4ad087c5c7.png"/><Relationship Id="rId67" Type="http://schemas.openxmlformats.org/officeDocument/2006/relationships/image" Target="media/9b3cbf7d78c3fee5ce4ed5c215a59fbafaf31147.png"/><Relationship Id="rId68" Type="http://schemas.openxmlformats.org/officeDocument/2006/relationships/image" Target="media/9172467889b285ad7fdaae8d67883f9be21fe7e1.png"/><Relationship Id="rId69" Type="http://schemas.openxmlformats.org/officeDocument/2006/relationships/image" Target="media/188a48608a5eb4487393ba1255bde1df64c84461.png"/><Relationship Id="rId70" Type="http://schemas.openxmlformats.org/officeDocument/2006/relationships/image" Target="media/fe46afb52ace7f22937e57b3bfe9681c5827f795.png"/><Relationship Id="rId71" Type="http://schemas.openxmlformats.org/officeDocument/2006/relationships/image" Target="media/91658ff08e4ebd4a38c9611928ead410b6b7963d.png"/><Relationship Id="rId72" Type="http://schemas.openxmlformats.org/officeDocument/2006/relationships/image" Target="media/fa3e35e1c41e8d9d4441710102e289e0a89223d0.png"/><Relationship Id="rId73" Type="http://schemas.openxmlformats.org/officeDocument/2006/relationships/image" Target="media/e41ce95a43df32a8a18e4dd19108578911e5edba.png"/><Relationship Id="rId74" Type="http://schemas.openxmlformats.org/officeDocument/2006/relationships/image" Target="media/6caad57d2e50cc00055fa7b04cc4766cec69911d.png"/><Relationship Id="rId75" Type="http://schemas.openxmlformats.org/officeDocument/2006/relationships/image" Target="media/097e2e3d7d575fe577202efbbbc32035afc074dd.png"/><Relationship Id="rId76" Type="http://schemas.openxmlformats.org/officeDocument/2006/relationships/image" Target="media/efb93ec3501d066211680404d565d8bdb74a6fd8.png"/><Relationship Id="rId77" Type="http://schemas.openxmlformats.org/officeDocument/2006/relationships/image" Target="media/77b6f459ff95e741430d0c72447b5158936a9280.png"/><Relationship Id="rId78" Type="http://schemas.openxmlformats.org/officeDocument/2006/relationships/image" Target="media/e8a27c4a3221f7cc7438c01ac5d0f864234f5364.png"/><Relationship Id="rId79" Type="http://schemas.openxmlformats.org/officeDocument/2006/relationships/image" Target="media/8fe287f19e6e552727e3ee20adf324733d63726e.png"/><Relationship Id="rId80" Type="http://schemas.openxmlformats.org/officeDocument/2006/relationships/image" Target="media/367bfb12d3870519006d4feb1d1862c46edced10.png"/><Relationship Id="rId81" Type="http://schemas.openxmlformats.org/officeDocument/2006/relationships/image" Target="media/b17f4127af09de96700dddf6b33a978b16c1d3e2.png"/><Relationship Id="rId82" Type="http://schemas.openxmlformats.org/officeDocument/2006/relationships/image" Target="media/6a81c8370db334051ff93e570155a81ea827973f.png"/><Relationship Id="rId83" Type="http://schemas.openxmlformats.org/officeDocument/2006/relationships/image" Target="media/2249efe470f1d783cb6a97c954b70e961f1e6e79.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2026-10-23T17:35:52.439Z</dcterms:created>
  <dcterms:modified xsi:type="dcterms:W3CDTF">2026-10-23T17:35:52.440Z</dcterms:modified>
</cp:coreProperties>
</file>

<file path=docProps/custom.xml><?xml version="1.0" encoding="utf-8"?>
<Properties xmlns="http://schemas.openxmlformats.org/officeDocument/2006/custom-properties" xmlns:vt="http://schemas.openxmlformats.org/officeDocument/2006/docPropsVTypes"/>
</file>