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pPr>
      <w:r>
        <w:rPr>
          <w:rFonts w:ascii="Arial" w:cs="Arial" w:eastAsia="Arial" w:hAnsi="Arial"/>
          <w:b/>
          <w:bCs/>
          <w:color w:val="000000"/>
          <w:sz w:val="36"/>
          <w:szCs w:val="36"/>
        </w:rPr>
        <w:t xml:space="preserve">Trazabilidad interna FLAMA</w:t>
      </w:r>
    </w:p>
    <w:p>
      <w:pPr>
        <w:spacing w:after="60" w:before="0" w:line="276"/>
      </w:pPr>
      <w:r>
        <w:rPr>
          <w:rFonts w:ascii="Arial" w:cs="Arial" w:eastAsia="Arial" w:hAnsi="Arial"/>
          <w:color w:val="595959"/>
          <w:sz w:val="20"/>
          <w:szCs w:val="20"/>
        </w:rPr>
        <w:t xml:space="preserve">Kanban de almacenes con cámaras, fichas de control de los procesos críticos e identificación sin QR</w:t>
      </w:r>
    </w:p>
    <w:p>
      <w:pPr>
        <w:spacing w:after="60" w:before="0" w:line="276"/>
      </w:pPr>
      <w:r>
        <w:rPr>
          <w:rFonts w:ascii="Arial" w:cs="Arial" w:eastAsia="Arial" w:hAnsi="Arial"/>
          <w:color w:val="595959"/>
          <w:sz w:val="20"/>
          <w:szCs w:val="20"/>
        </w:rPr>
        <w:t xml:space="preserve">App: trazabilidad/simple (misma estructura y estilo que la app de gestión interna) · Datos: libros 2035 de MP, PT y balanceo</w:t>
      </w:r>
    </w:p>
    <w:p>
      <w:pPr>
        <w:pStyle w:val="Heading1"/>
        <w:keepNext/>
        <w:spacing w:after="120" w:before="240" w:line="276"/>
      </w:pPr>
      <w:r>
        <w:rPr>
          <w:rFonts w:ascii="Arial" w:cs="Arial" w:eastAsia="Arial" w:hAnsi="Arial"/>
          <w:color w:val="000000"/>
          <w:sz w:val="19"/>
          <w:szCs w:val="19"/>
        </w:rPr>
        <w:t xml:space="preserve">En una página</w:t>
      </w:r>
    </w:p>
    <w:p>
      <w:pPr>
        <w:pStyle w:val="ListParagraph"/>
        <w:numPr>
          <w:ilvl w:val="0"/>
          <w:numId w:val="2"/>
        </w:numPr>
        <w:spacing w:after="40" w:before="0" w:line="276"/>
      </w:pPr>
      <w:r>
        <w:rPr>
          <w:rFonts w:ascii="Arial" w:cs="Arial" w:eastAsia="Arial" w:hAnsi="Arial"/>
          <w:b/>
          <w:bCs/>
          <w:color w:val="000000"/>
          <w:sz w:val="19"/>
          <w:szCs w:val="19"/>
        </w:rPr>
        <w:t xml:space="preserve">Tres piezas.</w:t>
      </w:r>
      <w:r>
        <w:rPr>
          <w:rFonts w:ascii="Arial" w:cs="Arial" w:eastAsia="Arial" w:hAnsi="Arial"/>
          <w:color w:val="000000"/>
          <w:sz w:val="19"/>
          <w:szCs w:val="19"/>
        </w:rPr>
        <w:t xml:space="preserve"> Un kanban de los almacenes (MP y PT) que se lee con cámaras, una ficha por cada control crítico y una búsqueda que une todo por el número grabado.</w:t>
      </w:r>
    </w:p>
    <w:p>
      <w:pPr>
        <w:pStyle w:val="ListParagraph"/>
        <w:numPr>
          <w:ilvl w:val="0"/>
          <w:numId w:val="2"/>
        </w:numPr>
        <w:spacing w:after="40" w:before="0" w:line="276"/>
      </w:pPr>
      <w:r>
        <w:rPr>
          <w:rFonts w:ascii="Arial" w:cs="Arial" w:eastAsia="Arial" w:hAnsi="Arial"/>
          <w:b/>
          <w:bCs/>
          <w:color w:val="000000"/>
          <w:sz w:val="19"/>
          <w:szCs w:val="19"/>
        </w:rPr>
        <w:t xml:space="preserve">Sin QR.</w:t>
      </w:r>
      <w:r>
        <w:rPr>
          <w:rFonts w:ascii="Arial" w:cs="Arial" w:eastAsia="Arial" w:hAnsi="Arial"/>
          <w:color w:val="000000"/>
          <w:sz w:val="19"/>
          <w:szCs w:val="19"/>
        </w:rPr>
        <w:t xml:space="preserve"> El QR queda para la atención al cliente. Adentro de la planta, el producto propio se sigue por el n° de serie del marcado Pannier; el revendido, por el n° de la etiqueta de su fabricante; el equipo en recarga, por la orden de servicio y el n° grabado del recipiente.</w:t>
      </w:r>
    </w:p>
    <w:p>
      <w:pPr>
        <w:pStyle w:val="ListParagraph"/>
        <w:numPr>
          <w:ilvl w:val="0"/>
          <w:numId w:val="2"/>
        </w:numPr>
        <w:spacing w:after="40" w:before="0" w:line="276"/>
      </w:pPr>
      <w:r>
        <w:rPr>
          <w:rFonts w:ascii="Arial" w:cs="Arial" w:eastAsia="Arial" w:hAnsi="Arial"/>
          <w:b/>
          <w:bCs/>
          <w:color w:val="000000"/>
          <w:sz w:val="19"/>
          <w:szCs w:val="19"/>
        </w:rPr>
        <w:t xml:space="preserve">Marcado arriba de todo.</w:t>
      </w:r>
      <w:r>
        <w:rPr>
          <w:rFonts w:ascii="Arial" w:cs="Arial" w:eastAsia="Arial" w:hAnsi="Arial"/>
          <w:color w:val="000000"/>
          <w:sz w:val="19"/>
          <w:szCs w:val="19"/>
        </w:rPr>
        <w:t xml:space="preserve"> Una línea horizontal en el cuerpo, a la izquierda de la costura longitudinal, con el final siempre a 15 mm de la costura y a 20 mm del borde de la chapa. La faja amarilla de los sustitutos va entera en la pollera: ya no hay que cortarla.</w:t>
      </w:r>
    </w:p>
    <w:p>
      <w:pPr>
        <w:pStyle w:val="ListParagraph"/>
        <w:numPr>
          <w:ilvl w:val="0"/>
          <w:numId w:val="2"/>
        </w:numPr>
        <w:spacing w:after="40" w:before="0" w:line="276"/>
      </w:pPr>
      <w:r>
        <w:rPr>
          <w:rFonts w:ascii="Arial" w:cs="Arial" w:eastAsia="Arial" w:hAnsi="Arial"/>
          <w:b/>
          <w:bCs/>
          <w:color w:val="000000"/>
          <w:sz w:val="19"/>
          <w:szCs w:val="19"/>
        </w:rPr>
        <w:t xml:space="preserve">Puntos de pedido reales.</w:t>
      </w:r>
      <w:r>
        <w:rPr>
          <w:rFonts w:ascii="Arial" w:cs="Arial" w:eastAsia="Arial" w:hAnsi="Arial"/>
          <w:color w:val="000000"/>
          <w:sz w:val="19"/>
          <w:szCs w:val="19"/>
        </w:rPr>
        <w:t xml:space="preserve"> Las 125 MP salen de MP-FLAMA2035 › Stock_MP: seguridad, consumo mientras llega el pedido y stock máximo. Punto de pedido = seguridad + consumo mientras llega.</w:t>
      </w:r>
    </w:p>
    <w:p>
      <w:pPr>
        <w:pStyle w:val="ListParagraph"/>
        <w:numPr>
          <w:ilvl w:val="0"/>
          <w:numId w:val="2"/>
        </w:numPr>
        <w:spacing w:after="40" w:before="0" w:line="276"/>
      </w:pPr>
      <w:r>
        <w:rPr>
          <w:rFonts w:ascii="Arial" w:cs="Arial" w:eastAsia="Arial" w:hAnsi="Arial"/>
          <w:b/>
          <w:bCs/>
          <w:color w:val="000000"/>
          <w:sz w:val="19"/>
          <w:szCs w:val="19"/>
        </w:rPr>
        <w:t xml:space="preserve">PT por zonas y con fechas.</w:t>
      </w:r>
      <w:r>
        <w:rPr>
          <w:rFonts w:ascii="Arial" w:cs="Arial" w:eastAsia="Arial" w:hAnsi="Arial"/>
          <w:color w:val="000000"/>
          <w:sz w:val="19"/>
          <w:szCs w:val="19"/>
        </w:rPr>
        <w:t xml:space="preserve"> Rack de 15 módulos × 3 niveles × 2 (90 lugares), carros en el piso, andén de 20, reventa, sustitutos y la rama de pintura, con el mes de fabricación a la vista y el pallet más viejo marcado (FIFO).</w:t>
      </w:r>
    </w:p>
    <w:p>
      <w:pPr>
        <w:pStyle w:val="ListParagraph"/>
        <w:numPr>
          <w:ilvl w:val="0"/>
          <w:numId w:val="2"/>
        </w:numPr>
        <w:spacing w:after="40" w:before="0" w:line="276"/>
      </w:pPr>
      <w:r>
        <w:rPr>
          <w:rFonts w:ascii="Arial" w:cs="Arial" w:eastAsia="Arial" w:hAnsi="Arial"/>
          <w:b/>
          <w:bCs/>
          <w:color w:val="000000"/>
          <w:sz w:val="19"/>
          <w:szCs w:val="19"/>
        </w:rPr>
        <w:t xml:space="preserve">16 fichas.</w:t>
      </w:r>
      <w:r>
        <w:rPr>
          <w:rFonts w:ascii="Arial" w:cs="Arial" w:eastAsia="Arial" w:hAnsi="Arial"/>
          <w:color w:val="000000"/>
          <w:sz w:val="19"/>
          <w:szCs w:val="19"/>
        </w:rPr>
        <w:t xml:space="preserve"> 11 de fabricación (recepción de MP, marcado, tres soldaduras, espesor, PH, defectos, pintado, pérdidas, PT), 4 de recargas (MP, inspección interior, pérdidas, PT) y 1 de revendidos. Cada campo con criterio se marca en verde o rojo y la ficha queda conforme o no conforme.</w:t>
      </w:r>
    </w:p>
    <w:p>
      <w:pPr>
        <w:pStyle w:val="ListParagraph"/>
        <w:numPr>
          <w:ilvl w:val="0"/>
          <w:numId w:val="2"/>
        </w:numPr>
        <w:spacing w:after="40" w:before="0" w:line="276"/>
      </w:pPr>
      <w:r>
        <w:rPr>
          <w:rFonts w:ascii="Arial" w:cs="Arial" w:eastAsia="Arial" w:hAnsi="Arial"/>
          <w:b/>
          <w:bCs/>
          <w:color w:val="000000"/>
          <w:sz w:val="19"/>
          <w:szCs w:val="19"/>
        </w:rPr>
        <w:t xml:space="preserve">Misma estructura que la app de gestión interna.</w:t>
      </w:r>
      <w:r>
        <w:rPr>
          <w:rFonts w:ascii="Arial" w:cs="Arial" w:eastAsia="Arial" w:hAnsi="Arial"/>
          <w:color w:val="000000"/>
          <w:sz w:val="19"/>
          <w:szCs w:val="19"/>
        </w:rPr>
        <w:t xml:space="preserve"> Barra de contexto, encabezado con pestañas, búsqueda y «Nueva ficha», tarjetas por línea y el layout de planta del plano rev10 con los puestos que llevan ficha.</w:t>
      </w:r>
    </w:p>
    <w:p>
      <w:pPr>
        <w:keepNext/>
        <w:spacing w:after="60"/>
        <w:jc w:val="center"/>
      </w:pPr>
      <w:r>
        <w:drawing>
          <wp:inline distT="0" distB="0" distL="0" distR="0">
            <wp:extent cx="5762625"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44291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 Dashboard: indicadores, mapa de controles por línea y lo que hay que pedir.</w:t>
      </w:r>
    </w:p>
    <w:p>
      <w:pPr>
        <w:pStyle w:val="Heading1"/>
        <w:keepNext/>
        <w:spacing w:after="120" w:before="240" w:line="276"/>
      </w:pPr>
      <w:r>
        <w:rPr>
          <w:rFonts w:ascii="Arial" w:cs="Arial" w:eastAsia="Arial" w:hAnsi="Arial"/>
          <w:color w:val="000000"/>
          <w:sz w:val="19"/>
          <w:szCs w:val="19"/>
        </w:rPr>
        <w:t xml:space="preserve">1. Qué identifica a cada cosa (sin QR)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18"/>
        <w:gridCol w:w="2740"/>
        <w:gridCol w:w="2951"/>
        <w:gridCol w:w="1897"/>
      </w:tblGrid>
      <w:tr>
        <w:trPr>
          <w:cantSplit/>
          <w:tblHeader/>
        </w:trPr>
        <w:tc>
          <w:tcPr>
            <w:tcW w:type="dxa" w:w="231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w:t>
            </w:r>
          </w:p>
        </w:tc>
        <w:tc>
          <w:tcPr>
            <w:tcW w:type="dxa" w:w="274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Número</w:t>
            </w:r>
          </w:p>
        </w:tc>
        <w:tc>
          <w:tcPr>
            <w:tcW w:type="dxa" w:w="29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está</w:t>
            </w:r>
          </w:p>
        </w:tc>
        <w:tc>
          <w:tcPr>
            <w:tcW w:type="dxa" w:w="189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 carga en</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o cilindro propio</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 año</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Marcado Pannier en el cuerpo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FAB-02 y siguientes</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fabricación</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 de producción + rango de series</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del lote</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Todas las FAB</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y fleje</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Colada del certificado</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del paquete o rollo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FAB-01 → FAB-02</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y agentes</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del proveedor</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Bulto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FAB-01, REC-01</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Revendido</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del fabricante</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etiqueta o grabado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REV-01</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en recarga</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 de servicio + n° de serie grabado</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Recipiente del cliente</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REC-02 a REC-04</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PT</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PAL-nnnn + lugar</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pallet</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 REV-01</w:t>
            </w:r>
          </w:p>
        </w:tc>
      </w:tr>
    </w:tbl>
    <w:p>
      <w:pPr>
        <w:spacing w:after="120"/>
      </w:pPr>
    </w:p>
    <w:p>
      <w:pPr>
        <w:pStyle w:val="Heading2"/>
        <w:keepNext/>
        <w:spacing w:after="80" w:before="180" w:line="276"/>
      </w:pPr>
      <w:r>
        <w:rPr>
          <w:rFonts w:ascii="Arial" w:cs="Arial" w:eastAsia="Arial" w:hAnsi="Arial"/>
          <w:color w:val="000000"/>
          <w:sz w:val="19"/>
          <w:szCs w:val="19"/>
        </w:rPr>
        <w:t xml:space="preserve">1.1 Marcado Pannier del producto propio</w:t>
      </w:r>
    </w:p>
    <w:p>
      <w:pPr>
        <w:keepNext/>
        <w:spacing w:after="60"/>
        <w:jc w:val="center"/>
      </w:pPr>
      <w:r>
        <w:drawing>
          <wp:inline distT="0" distB="0" distL="0" distR="0">
            <wp:extent cx="4324350" cy="2714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24350" cy="27146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2. Marcado en el cuerpo: arriba, a la izquierda de la costura, en una línea; faja de sustituto entera en la pollera (esquemático).</w:t>
      </w:r>
    </w:p>
    <w:p>
      <w:pPr>
        <w:pStyle w:val="ListParagraph"/>
        <w:numPr>
          <w:ilvl w:val="0"/>
          <w:numId w:val="2"/>
        </w:numPr>
        <w:spacing w:after="40" w:before="0" w:line="276"/>
      </w:pPr>
      <w:r>
        <w:rPr>
          <w:rFonts w:ascii="Arial" w:cs="Arial" w:eastAsia="Arial" w:hAnsi="Arial"/>
          <w:b/>
          <w:bCs/>
          <w:color w:val="000000"/>
          <w:sz w:val="19"/>
          <w:szCs w:val="19"/>
        </w:rPr>
        <w:t xml:space="preserve">Cuándo.</w:t>
      </w:r>
      <w:r>
        <w:rPr>
          <w:rFonts w:ascii="Arial" w:cs="Arial" w:eastAsia="Arial" w:hAnsi="Arial"/>
          <w:color w:val="000000"/>
          <w:sz w:val="19"/>
          <w:szCs w:val="19"/>
        </w:rPr>
        <w:t xml:space="preserve"> En el puesto 6 del balanceo («Marcado del cuerpo (manuales + carros)»): la Pannier marca el desarrollo todavía plano, entre la guillotina 2 y el cilindrado (Balanceo-FLAMA2035 › Carga, fila 39). Desde ahí el cuerpo ya tiene su número, y cada ficha siguiente lo usa. Al marcar en plano, el texto no tiene que seguir la curva del cuerpo.</w:t>
      </w:r>
    </w:p>
    <w:p>
      <w:pPr>
        <w:pStyle w:val="ListParagraph"/>
        <w:numPr>
          <w:ilvl w:val="0"/>
          <w:numId w:val="2"/>
        </w:numPr>
        <w:spacing w:after="40" w:before="0" w:line="276"/>
      </w:pPr>
      <w:r>
        <w:rPr>
          <w:rFonts w:ascii="Arial" w:cs="Arial" w:eastAsia="Arial" w:hAnsi="Arial"/>
          <w:b/>
          <w:bCs/>
          <w:color w:val="000000"/>
          <w:sz w:val="19"/>
          <w:szCs w:val="19"/>
        </w:rPr>
        <w:t xml:space="preserve">Qué dice.</w:t>
      </w:r>
      <w:r>
        <w:rPr>
          <w:rFonts w:ascii="Arial" w:cs="Arial" w:eastAsia="Arial" w:hAnsi="Arial"/>
          <w:color w:val="000000"/>
          <w:sz w:val="19"/>
          <w:szCs w:val="19"/>
        </w:rPr>
        <w:t xml:space="preserve"> Fabricante, n° de serie y año (IRAM 3523 5.1); en los carros también la presión de ensayo (IRAM 3550 5.1); el cuño DPS 15 × 7 al final (Res. 349/07 anexo IV). Una sola línea horizontal y sin código 2D.</w:t>
      </w:r>
    </w:p>
    <w:p>
      <w:pPr>
        <w:pStyle w:val="ListParagraph"/>
        <w:numPr>
          <w:ilvl w:val="0"/>
          <w:numId w:val="2"/>
        </w:numPr>
        <w:spacing w:after="40" w:before="0" w:line="276"/>
      </w:pPr>
      <w:r>
        <w:rPr>
          <w:rFonts w:ascii="Arial" w:cs="Arial" w:eastAsia="Arial" w:hAnsi="Arial"/>
          <w:b/>
          <w:bCs/>
          <w:color w:val="000000"/>
          <w:sz w:val="19"/>
          <w:szCs w:val="19"/>
        </w:rPr>
        <w:t xml:space="preserve">Dónde.</w:t>
      </w:r>
      <w:r>
        <w:rPr>
          <w:rFonts w:ascii="Arial" w:cs="Arial" w:eastAsia="Arial" w:hAnsi="Arial"/>
          <w:color w:val="000000"/>
          <w:sz w:val="19"/>
          <w:szCs w:val="19"/>
        </w:rPr>
        <w:t xml:space="preserve"> El mismo lugar de la chapa en todos los modelos: el final del marcado (el cuño) a 15 mm del borde que forma la costura y el borde de arriba a 20 mm del borde superior de la chapa. El texto crece hacia la izquierda: 109 mm en los manuales y 153 mm en los carros. Los 15 y 20 mm son criterio (libran el cordón y el bordón).</w:t>
      </w:r>
    </w:p>
    <w:p>
      <w:pPr>
        <w:pStyle w:val="ListParagraph"/>
        <w:numPr>
          <w:ilvl w:val="0"/>
          <w:numId w:val="2"/>
        </w:numPr>
        <w:spacing w:after="40" w:before="0" w:line="276"/>
      </w:pPr>
      <w:r>
        <w:rPr>
          <w:rFonts w:ascii="Arial" w:cs="Arial" w:eastAsia="Arial" w:hAnsi="Arial"/>
          <w:b/>
          <w:bCs/>
          <w:color w:val="000000"/>
          <w:sz w:val="19"/>
          <w:szCs w:val="19"/>
        </w:rPr>
        <w:t xml:space="preserve">Por qué arriba.</w:t>
      </w:r>
      <w:r>
        <w:rPr>
          <w:rFonts w:ascii="Arial" w:cs="Arial" w:eastAsia="Arial" w:hAnsi="Arial"/>
          <w:color w:val="000000"/>
          <w:sz w:val="19"/>
          <w:szCs w:val="19"/>
        </w:rPr>
        <w:t xml:space="preserve"> Queda por encima de la etiqueta y lejos de la pollera, así que la faja amarilla del sustituto (≤ 40 mm en la pollera, IRAM 3517-2:2020 9.4.5 b) se pega entera, sin cortes. Los planos FL_MAT (hoja 4, R7) y FL_REC (hoja 3, R3) ya lo muestran acotado.</w:t>
      </w:r>
    </w:p>
    <w:p>
      <w:pPr>
        <w:pStyle w:val="Heading2"/>
        <w:keepNext/>
        <w:spacing w:after="80" w:before="180" w:line="276"/>
      </w:pPr>
      <w:r>
        <w:rPr>
          <w:rFonts w:ascii="Arial" w:cs="Arial" w:eastAsia="Arial" w:hAnsi="Arial"/>
          <w:color w:val="000000"/>
          <w:sz w:val="19"/>
          <w:szCs w:val="19"/>
        </w:rPr>
        <w:t xml:space="preserve">1.2 Revendidos y recargas</w:t>
      </w:r>
    </w:p>
    <w:p>
      <w:pPr>
        <w:spacing w:after="100" w:before="0" w:line="276"/>
      </w:pPr>
      <w:r>
        <w:rPr>
          <w:rFonts w:ascii="Arial" w:cs="Arial" w:eastAsia="Arial" w:hAnsi="Arial"/>
          <w:color w:val="000000"/>
          <w:sz w:val="19"/>
          <w:szCs w:val="19"/>
        </w:rPr>
        <w:t xml:space="preserve">FLAMA no vuelve a marcar lo que no fabrica. El revendido se recibe con la ficha REV-01, donde se copia el n° de serie de la etiqueta o el grabado de su fabricante (uno por línea), la marca, el año y el sello IRAM; queda en la zona de reventa del PT y sale con su remito. En recargas, el equipo del cliente se sigue con la orden de servicio y el n° de serie que grabó su fabricante.</w:t>
      </w:r>
    </w:p>
    <w:p>
      <w:pPr>
        <w:pStyle w:val="Heading1"/>
        <w:keepNext/>
        <w:spacing w:after="120" w:before="240" w:line="276"/>
      </w:pPr>
      <w:r>
        <w:rPr>
          <w:rFonts w:ascii="Arial" w:cs="Arial" w:eastAsia="Arial" w:hAnsi="Arial"/>
          <w:color w:val="000000"/>
          <w:sz w:val="19"/>
          <w:szCs w:val="19"/>
        </w:rPr>
        <w:t xml:space="preserve">2. Kanban de los almacenes de MP</w:t>
      </w:r>
    </w:p>
    <w:p>
      <w:pPr>
        <w:spacing w:after="100" w:before="0" w:line="276"/>
      </w:pPr>
      <w:r>
        <w:rPr>
          <w:rFonts w:ascii="Arial" w:cs="Arial" w:eastAsia="Arial" w:hAnsi="Arial"/>
          <w:color w:val="000000"/>
          <w:sz w:val="19"/>
          <w:szCs w:val="19"/>
        </w:rPr>
        <w:t xml:space="preserve">Cada MP es una tarjeta. La tarjeta cambia de columna con cada lectura de cámara, conteo, retiro a la línea o recepción: bajo seguridad, para pedir (en el punto de pedido), pedido en curso, sobre el punto de pedido o sin lectura. La barra muestra el stock contra el máximo, con una marca roja en la seguridad y una negra en el punto de pedido.</w:t>
      </w:r>
    </w:p>
    <w:p>
      <w:pPr>
        <w:spacing w:after="120" w:before="0" w:line="276"/>
      </w:pPr>
      <w:r>
        <w:rPr>
          <w:rFonts w:ascii="Arial" w:cs="Arial" w:eastAsia="Arial" w:hAnsi="Arial"/>
          <w:color w:val="595959"/>
          <w:sz w:val="16"/>
          <w:szCs w:val="16"/>
        </w:rPr>
        <w:t xml:space="preserve">Punto de pedido = stock de seguridad (Stock_MP, columna L) + consumo mientras llega el pedido (columna K). Es lo que tiene que quedar cuando sale el pedido para que la entrega llegue antes de tocar la seguridad. La revisión periódica del Word de MP (cada «cada» días se pide hasta el máximo) sigue: el kanban avisa si entre dos revisiones se cruza el punto.</w:t>
      </w:r>
    </w:p>
    <w:p>
      <w:pPr>
        <w:keepNext/>
        <w:spacing w:after="60"/>
        <w:jc w:val="center"/>
      </w:pPr>
      <w:r>
        <w:drawing>
          <wp:inline distT="0" distB="0" distL="0" distR="0">
            <wp:extent cx="5762625" cy="3600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6004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3. Kanban de MP con lecturas de ejemplo de la prueba de la app: una chapa con pedido emitido y las que quedaron en el punto de pedido.</w:t>
      </w:r>
    </w:p>
    <w:p>
      <w:pPr>
        <w:keepNext/>
        <w:spacing w:after="60"/>
        <w:jc w:val="center"/>
      </w:pPr>
      <w:r>
        <w:drawing>
          <wp:inline distT="0" distB="0" distL="0" distR="0">
            <wp:extent cx="5762625" cy="36004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6004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4. Tarjeta de una MP: de dónde sale cada número, movimiento y pedido sugerido hasta el máximo.</w:t>
      </w:r>
    </w:p>
    <w:p>
      <w:pPr>
        <w:pStyle w:val="Heading2"/>
        <w:keepNext/>
        <w:spacing w:after="80" w:before="180" w:line="276"/>
      </w:pPr>
      <w:r>
        <w:rPr>
          <w:rFonts w:ascii="Arial" w:cs="Arial" w:eastAsia="Arial" w:hAnsi="Arial"/>
          <w:color w:val="000000"/>
          <w:sz w:val="19"/>
          <w:szCs w:val="19"/>
        </w:rPr>
        <w:t xml:space="preserve">2.1 Cámaras y señal kanban física</w:t>
      </w:r>
    </w:p>
    <w:p>
      <w:pPr>
        <w:spacing w:after="100" w:before="0" w:line="276"/>
      </w:pPr>
      <w:r>
        <w:rPr>
          <w:rFonts w:ascii="Arial" w:cs="Arial" w:eastAsia="Arial" w:hAnsi="Arial"/>
          <w:color w:val="000000"/>
          <w:sz w:val="19"/>
          <w:szCs w:val="19"/>
        </w:rPr>
        <w:t xml:space="preserve">Una cámara por almacén (criterio) mira los lugares de cada código. La cámara no lee códigos: ve una señal física que se pone en el punto de pedido de cada código, según cómo se guarda (Almacenes, columna «Cómo se dispone»).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92"/>
        <w:gridCol w:w="1981"/>
        <w:gridCol w:w="1684"/>
        <w:gridCol w:w="693"/>
        <w:gridCol w:w="693"/>
        <w:gridCol w:w="4063"/>
      </w:tblGrid>
      <w:tr>
        <w:trPr>
          <w:cantSplit/>
          <w:tblHeader/>
        </w:trPr>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Cámara</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Almacén</w:t>
            </w:r>
          </w:p>
        </w:tc>
        <w:tc>
          <w:tcPr>
            <w:tcW w:type="dxa" w:w="168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Estantería</w:t>
            </w:r>
          </w:p>
        </w:tc>
        <w:tc>
          <w:tcPr>
            <w:tcW w:type="dxa" w:w="69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Lugares</w:t>
            </w:r>
          </w:p>
        </w:tc>
        <w:tc>
          <w:tcPr>
            <w:tcW w:type="dxa" w:w="69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Códigos</w:t>
            </w:r>
          </w:p>
        </w:tc>
        <w:tc>
          <w:tcPr>
            <w:tcW w:type="dxa" w:w="40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ve</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CAM-01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(pilas en el piso)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Apilado en bloque</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40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Franja roja en el poste a la altura del punto de pedido; la cámara mide el alto de la pila.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CAM-02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Flejes (rack + volteador)</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2.000 kg/nivel</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40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Lugar del punto de pedido demarcado en rojo en el larguero: abajo se usa, arriba se repone; vacío = pedir.</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CAM-03</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de caños y barras</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(fabricación propia)</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40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Brazo del punto de pedido pintado de rojo: sin atado = pedir.</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CAM-04</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de polvo químico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Apilado en bloque</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40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Franja roja en el poste a la altura del punto de pedido; la cámara mide el alto de la pila.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CAM-05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500 kg/nivel</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40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Lugar del punto de pedido demarcado en rojo en el larguero: abajo se usa, arriba se repone; vacío = pedir.</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CAM-06</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Estantería liviana</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40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Doble cajón: al abrir el segundo queda a la vista su tarjeta roja.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CAM-07</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40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Lugar del punto de pedido demarcado en rojo en el larguero: abajo se usa, arriba se repone; vacío = pedir.</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CAM-08</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c>
          <w:tcPr>
            <w:tcW w:type="dxa" w:w="40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Lugar del punto de pedido demarcado en rojo en el larguero: abajo se usa, arriba se repone; vacío = pedir.</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CAM-09</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soldadura y superficie</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40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Lugar del punto de pedido demarcado en rojo en el larguero: abajo se usa, arriba se repone; vacío = pedir.</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CAM-10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de gases</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exterior ventilada</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40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Cilindros llenos con capuchón; la cámara cuenta capuchones.</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CAM-11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casquetes y cuplas (carros)</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2.000 kg/nivel</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40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Lugar del punto de pedido demarcado en rojo en el larguero: abajo se usa, arriba se repone; vacío = pedir.</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CAM-12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500 kg/nivel</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w:t>
            </w:r>
          </w:p>
        </w:tc>
        <w:tc>
          <w:tcPr>
            <w:tcW w:type="dxa" w:w="40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Lugar del punto de pedido demarcado en rojo en el larguero: abajo se usa, arriba se repone; vacío = pedir.</w:t>
            </w:r>
          </w:p>
        </w:tc>
      </w:tr>
    </w:tbl>
    <w:p>
      <w:pPr>
        <w:spacing w:after="120"/>
      </w:pPr>
    </w:p>
    <w:p>
      <w:pPr>
        <w:keepNext/>
        <w:spacing w:after="60"/>
        <w:jc w:val="center"/>
      </w:pPr>
      <w:r>
        <w:drawing>
          <wp:inline distT="0" distB="0" distL="0" distR="0">
            <wp:extent cx="5762625" cy="3600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6004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5. Vista de cámaras: una columna por código, relleno = stock leído, línea blanca = punto de pedido, roja punteada = seguridad. Las que están en el punto titilan.</w:t>
      </w:r>
    </w:p>
    <w:p>
      <w:pPr>
        <w:spacing w:after="100" w:before="0" w:line="276"/>
      </w:pPr>
      <w:r>
        <w:rPr>
          <w:rFonts w:ascii="Arial" w:cs="Arial" w:eastAsia="Arial" w:hAnsi="Arial"/>
          <w:color w:val="000000"/>
          <w:sz w:val="19"/>
          <w:szCs w:val="19"/>
        </w:rPr>
        <w:t xml:space="preserve">Mientras no estén las cámaras, la misma pantalla se carga a mano («Registrar lectura»). La lectura queda con su fuente (cámara o conteo) y su hora.</w:t>
      </w:r>
    </w:p>
    <w:p>
      <w:pPr>
        <w:pStyle w:val="Heading1"/>
        <w:keepNext/>
        <w:spacing w:after="120" w:before="240" w:line="276"/>
      </w:pPr>
      <w:r>
        <w:rPr>
          <w:rFonts w:ascii="Arial" w:cs="Arial" w:eastAsia="Arial" w:hAnsi="Arial"/>
          <w:color w:val="000000"/>
          <w:sz w:val="19"/>
          <w:szCs w:val="19"/>
        </w:rPr>
        <w:t xml:space="preserve">3. Kanban de producto terminado</w:t>
      </w:r>
    </w:p>
    <w:p>
      <w:pPr>
        <w:spacing w:after="100" w:before="0" w:line="276"/>
      </w:pPr>
      <w:r>
        <w:rPr>
          <w:rFonts w:ascii="Arial" w:cs="Arial" w:eastAsia="Arial" w:hAnsi="Arial"/>
          <w:color w:val="000000"/>
          <w:sz w:val="19"/>
          <w:szCs w:val="19"/>
        </w:rPr>
        <w:t xml:space="preserve">El almacén de PT por zonas, con cada pallet en su lugar. El color del pallet es el mes de fabricación (4 colores que rotan, criterio) y el borde marca el más viejo de cada producto, que sale primero. Cada pallet entra con la ficha FAB-11 (o REV-01 los revendidos) y sale con su remito y el vehículo del día.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892"/>
        <w:gridCol w:w="4557"/>
        <w:gridCol w:w="2476"/>
      </w:tblGrid>
      <w:tr>
        <w:trPr>
          <w:cantSplit/>
          <w:tblHeader/>
        </w:trPr>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Zona</w:t>
            </w:r>
          </w:p>
        </w:tc>
        <w:tc>
          <w:tcPr>
            <w:tcW w:type="dxa" w:w="8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Lugares</w:t>
            </w:r>
          </w:p>
        </w:tc>
        <w:tc>
          <w:tcPr>
            <w:tcW w:type="dxa" w:w="455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guarda</w:t>
            </w:r>
          </w:p>
        </w:tc>
        <w:tc>
          <w:tcPr>
            <w:tcW w:type="dxa" w:w="247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PT</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Nuevos en caja y cilindros; 15 módulos × 3 niveles × 2; los 10 kg en caja en el nivel 1</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PTPINTADO › Almacen_PT B15:B16</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Carros terminados en el piso</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 11 · 50 kg: 23 · 70 kg: 5 · 100 kg: 4</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Almacen_PT B22:B25</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Andén</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 que sale en el día: un sider y un camión chico</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Almacen_PT B30</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Reventa</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Matafuegos revendidos, por modelo</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Balanceo › Pulmones, sección 6</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Sustitutos</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propios + 14 comprados</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Balanceo › Pulmones, sección 6</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Rama de pintura (carros)</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Espera del pintor 29 + pintados 29</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PTPINTADO › Pintura B33:B34</w:t>
            </w:r>
          </w:p>
        </w:tc>
      </w:tr>
    </w:tbl>
    <w:p>
      <w:pPr>
        <w:spacing w:after="120"/>
      </w:pPr>
    </w:p>
    <w:p>
      <w:pPr>
        <w:keepNext/>
        <w:spacing w:after="60"/>
        <w:jc w:val="center"/>
      </w:pPr>
      <w:r>
        <w:drawing>
          <wp:inline distT="0" distB="0" distL="0" distR="0">
            <wp:extent cx="5400675" cy="56578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5657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6. Kanban de PT con pallets de la prueba: rack, piso, andén, reventa, sustitutos, pintura, días fijos de despacho y stock contra máximo.</w:t>
      </w:r>
    </w:p>
    <w:p>
      <w:pPr>
        <w:pStyle w:val="Heading2"/>
        <w:keepNext/>
        <w:spacing w:after="80" w:before="180" w:line="276"/>
      </w:pPr>
      <w:r>
        <w:rPr>
          <w:rFonts w:ascii="Arial" w:cs="Arial" w:eastAsia="Arial" w:hAnsi="Arial"/>
          <w:color w:val="000000"/>
          <w:sz w:val="19"/>
          <w:szCs w:val="19"/>
        </w:rPr>
        <w:t xml:space="preserve">3.1 Despacho por días fijos y stock máximo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58"/>
        <w:gridCol w:w="3467"/>
        <w:gridCol w:w="1981"/>
      </w:tblGrid>
      <w:tr>
        <w:trPr>
          <w:cantSplit/>
          <w:tblHeader/>
        </w:trPr>
        <w:tc>
          <w:tcPr>
            <w:tcW w:type="dxa" w:w="445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Vehículo · qué lleva</w:t>
            </w:r>
          </w:p>
        </w:tc>
        <w:tc>
          <w:tcPr>
            <w:tcW w:type="dxa" w:w="346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Días</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Salidas por semana</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Camión chico · nuevos en caja</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Lunes, miércoles y viernes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Sider · cilindros de manuales y de carro</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Martes y jueves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Master · carros terminados a clientes</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Lunes a viernes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Master · pintor (crudos de ida, pintados de vuelta)</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2 días hábiles, 3 viajes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68"/>
        <w:gridCol w:w="1486"/>
        <w:gridCol w:w="1189"/>
        <w:gridCol w:w="1486"/>
        <w:gridCol w:w="1189"/>
        <w:gridCol w:w="1188"/>
      </w:tblGrid>
      <w:tr>
        <w:trPr>
          <w:cantSplit/>
          <w:tblHeader/>
        </w:trPr>
        <w:tc>
          <w:tcPr>
            <w:tcW w:type="dxa" w:w="33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Producto</w:t>
            </w:r>
          </w:p>
        </w:tc>
        <w:tc>
          <w:tcPr>
            <w:tcW w:type="dxa" w:w="14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Ventas del año</w:t>
            </w:r>
          </w:p>
        </w:tc>
        <w:tc>
          <w:tcPr>
            <w:tcW w:type="dxa" w:w="11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Seguridad</w:t>
            </w:r>
          </w:p>
        </w:tc>
        <w:tc>
          <w:tcPr>
            <w:tcW w:type="dxa" w:w="14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Stock máximo</w:t>
            </w:r>
          </w:p>
        </w:tc>
        <w:tc>
          <w:tcPr>
            <w:tcW w:type="dxa" w:w="11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Por pallet</w:t>
            </w:r>
          </w:p>
        </w:tc>
        <w:tc>
          <w:tcPr>
            <w:tcW w:type="dxa" w:w="11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Pallets</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1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32.073</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669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2.953</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2,5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7.436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168</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5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30.815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1.650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10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1.845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1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170.548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3554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14.567</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2,5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6.690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629</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288</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5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33.038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689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126</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10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2.018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25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50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998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70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100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25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50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710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70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100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bl>
    <w:p>
      <w:pPr>
        <w:spacing w:after="120"/>
      </w:pPr>
    </w:p>
    <w:p>
      <w:pPr>
        <w:spacing w:after="120" w:before="0" w:line="276"/>
      </w:pPr>
      <w:r>
        <w:rPr>
          <w:rFonts w:ascii="Arial" w:cs="Arial" w:eastAsia="Arial" w:hAnsi="Arial"/>
          <w:color w:val="595959"/>
          <w:sz w:val="16"/>
          <w:szCs w:val="16"/>
        </w:rPr>
        <w:t xml:space="preserve">Stock máximo = stock por sobrestock + seguridad (5 días de venta) + pallet en armado (PTPINTADO › Stock_PT, filas 63 a 78).</w:t>
      </w:r>
    </w:p>
    <w:p>
      <w:pPr>
        <w:pStyle w:val="Heading1"/>
        <w:keepNext/>
        <w:spacing w:after="120" w:before="240" w:line="276"/>
      </w:pPr>
      <w:r>
        <w:rPr>
          <w:rFonts w:ascii="Arial" w:cs="Arial" w:eastAsia="Arial" w:hAnsi="Arial"/>
          <w:color w:val="000000"/>
          <w:sz w:val="19"/>
          <w:szCs w:val="19"/>
        </w:rPr>
        <w:t xml:space="preserve">4. Fichas de control de los procesos críticos</w:t>
      </w:r>
    </w:p>
    <w:p>
      <w:pPr>
        <w:spacing w:after="100" w:before="0" w:line="276"/>
      </w:pPr>
      <w:r>
        <w:rPr>
          <w:rFonts w:ascii="Arial" w:cs="Arial" w:eastAsia="Arial" w:hAnsi="Arial"/>
          <w:color w:val="000000"/>
          <w:sz w:val="19"/>
          <w:szCs w:val="19"/>
        </w:rPr>
        <w:t xml:space="preserve">Una ficha por control crítico. Cada una dice en qué puestos del balanceo se usa y en qué sector del plano está, qué hay que registrar y con qué norma se acepta. Los campos con criterio se marcan solos; si alguno no cumple, la ficha queda «No conforme» y dice qué campo falló.</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93"/>
        <w:gridCol w:w="1387"/>
        <w:gridCol w:w="1090"/>
        <w:gridCol w:w="2972"/>
        <w:gridCol w:w="2080"/>
        <w:gridCol w:w="1684"/>
      </w:tblGrid>
      <w:tr>
        <w:trPr>
          <w:cantSplit/>
          <w:tblHeader/>
        </w:trPr>
        <w:tc>
          <w:tcPr>
            <w:tcW w:type="dxa" w:w="69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Ficha</w:t>
            </w:r>
          </w:p>
        </w:tc>
        <w:tc>
          <w:tcPr>
            <w:tcW w:type="dxa" w:w="138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Proceso</w:t>
            </w:r>
          </w:p>
        </w:tc>
        <w:tc>
          <w:tcPr>
            <w:tcW w:type="dxa" w:w="109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Puestos</w:t>
            </w:r>
          </w:p>
        </w:tc>
        <w:tc>
          <w:tcPr>
            <w:tcW w:type="dxa" w:w="297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registra</w:t>
            </w:r>
          </w:p>
        </w:tc>
        <w:tc>
          <w:tcPr>
            <w:tcW w:type="dxa" w:w="20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Criterio que marca</w:t>
            </w:r>
          </w:p>
        </w:tc>
        <w:tc>
          <w:tcPr>
            <w:tcW w:type="dxa" w:w="168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Norma</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MP</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 · car 1</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lote o colada, certificado, espesor medido (chapa y fleje)</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 nominal</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DOC-02 R1, L4, L5</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Marcado del cuerpo (Pannier)</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6</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desde–hasta, año, colada de la chapa, ubicación 15/20 mm, cuño DPS, legibilidad</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Marcado completo y legible</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3523 5.1 · 3550 5.1 · Res. 349/07 anexo IV</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 longitudinal</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9 y 10 · car 5</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Soldador calificado, WPS, proceso, lotes de alambre y gas, A y V, visual</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TIG en 1 kg, MAG en el resto; ISO 5817 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9606-1 · ISO 15614-1 · DOC-02 R2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 de cúpula</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7 · car 6</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Igual que FAB-03; unión cuello-cúpula o cupla-cúpula</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FAB-05</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 circunferencial</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13 · car 7</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Igual que FAB-03</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Control de espesor</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14 (2 %)</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Instrumento y calibración, serie medida, 4 lecturas</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Mínima ≥ espesor nominal del modelo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DOC-02 R1</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FAB-07</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Prueba hidráulica</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15 · car 9</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Banco, días desde el contraste, presión, tiempo, series rechazadas; por lote expansión y rotura</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 15 días · P ≥ 3,5 / 4,0 MPa · ≥ 60 s · permanente ≤ 10 % · rotura ≥ 2 × PH</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9.7.5.2 · Res. 349/07 art. 20 · DOC-02 R3, L1, L2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Detección y corrección de defectos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18 y 19</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Defecto, series, acción, si vuelve a PH</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Corrección con soldadura → repite la PH (criterio)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C · DOC-02 R2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FAB-09</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Pintado</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20 · car 12 (pintor externo)</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polvo, Sa 2½, horas desde el granallado, HR, 5 lecturas de película, adherencia, MEK, color</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4 h · HR ≤ 85 % · 60 a 100 µm, ninguna &lt; 48 · clase 0 ó 1</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DOC-01 · ISO 2808 · ISO 2409 · ASTM D5402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FAB-10</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 de pérdidas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24 · car 14-17</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Método, zona verde al presurizar y a las 24 h, sin pérdidas</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pérdidas; 24 h en verde (criterio)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9.4.10 · DOC-02 R7, R8</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Producto terminado</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26 · car 16</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Producto, unidades, series, fecha de fabricación, lugar en el PT, pesada y etiquetas</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Pesada en tolerancia; identificación completa</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DOC-02 R9</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 de recargas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Agente, lote, certificado, rótulo</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Agente normalizado con certificado; sin mezclar ABC y BC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9.9, tabla 6, 9.9.1.6</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Inspección interior</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 9 y 13</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OS, n° grabado, agente, videoscopio, humedad, corrosión, daño</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Seco; corrosión o abolladura → inutilizar</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9.8.2 · 9.7.1.2 · 9.7.1.3 · 9.12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 de pérdidas (recarga)</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 20</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OS, n° grabado, método, zona verde, sin pérdidas</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pérdidas; inmersión fuera del recinto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9.4.10 · 9.4.8</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 de recargas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 21</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marbete del año, oblea, etiqueta, jaula, remito</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marbete y oblea colocados</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9.4.13 · 9.6 · 9.4.14</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REV-01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revendidos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PT</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Modelo, fabricante, series del fabricante, año, sello IRAM, remito, lugar</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legible, manómetro en verde, precinto intacto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9.4.13</w:t>
            </w:r>
          </w:p>
        </w:tc>
      </w:tr>
    </w:tbl>
    <w:p>
      <w:pPr>
        <w:spacing w:after="120"/>
      </w:pPr>
    </w:p>
    <w:p>
      <w:pPr>
        <w:spacing w:after="120" w:before="0" w:line="276"/>
      </w:pPr>
      <w:r>
        <w:rPr>
          <w:rFonts w:ascii="Arial" w:cs="Arial" w:eastAsia="Arial" w:hAnsi="Arial"/>
          <w:color w:val="595959"/>
          <w:sz w:val="16"/>
          <w:szCs w:val="16"/>
        </w:rPr>
        <w:t xml:space="preserve">Puestos: man = manuales, car = carros, rec = recargas, con el número de Balanceo-FLAMA2035 › Carga. Las cláusulas se citan; no se transcriben.</w:t>
      </w:r>
    </w:p>
    <w:p>
      <w:pPr>
        <w:keepNext/>
        <w:spacing w:after="60"/>
        <w:jc w:val="center"/>
      </w:pPr>
      <w:r>
        <w:drawing>
          <wp:inline distT="0" distB="0" distL="0" distR="0">
            <wp:extent cx="5400675" cy="41052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41052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7. Ficha FAB-07 (prueba hidráulica): el tiempo de 45 s queda en rojo porque la norma pide 1 minuto, y la ficha se guarda como no conforme.</w:t>
      </w:r>
    </w:p>
    <w:p>
      <w:pPr>
        <w:keepNext/>
        <w:spacing w:after="60"/>
        <w:jc w:val="center"/>
      </w:pPr>
      <w:r>
        <w:drawing>
          <wp:inline distT="0" distB="0" distL="0" distR="0">
            <wp:extent cx="5400675" cy="4505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4505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8. Las 16 fichas agrupadas por línea, con sus puestos y la cantidad de registros.</w:t>
      </w:r>
    </w:p>
    <w:p>
      <w:pPr>
        <w:pStyle w:val="Heading1"/>
        <w:keepNext/>
        <w:spacing w:after="120" w:before="240" w:line="276"/>
      </w:pPr>
      <w:r>
        <w:rPr>
          <w:rFonts w:ascii="Arial" w:cs="Arial" w:eastAsia="Arial" w:hAnsi="Arial"/>
          <w:color w:val="000000"/>
          <w:sz w:val="19"/>
          <w:szCs w:val="19"/>
        </w:rPr>
        <w:t xml:space="preserve">5. Cómo se une todo: la búsqueda de trazabilidad</w:t>
      </w:r>
    </w:p>
    <w:p>
      <w:pPr>
        <w:pStyle w:val="ListParagraph"/>
        <w:numPr>
          <w:ilvl w:val="0"/>
          <w:numId w:val="2"/>
        </w:numPr>
        <w:spacing w:after="40" w:before="0" w:line="276"/>
      </w:pPr>
      <w:r>
        <w:rPr>
          <w:rFonts w:ascii="Arial" w:cs="Arial" w:eastAsia="Arial" w:hAnsi="Arial"/>
          <w:b/>
          <w:bCs/>
          <w:color w:val="000000"/>
          <w:sz w:val="19"/>
          <w:szCs w:val="19"/>
        </w:rPr>
        <w:t xml:space="preserve">Hacia atrás.</w:t>
      </w:r>
      <w:r>
        <w:rPr>
          <w:rFonts w:ascii="Arial" w:cs="Arial" w:eastAsia="Arial" w:hAnsi="Arial"/>
          <w:color w:val="000000"/>
          <w:sz w:val="19"/>
          <w:szCs w:val="19"/>
        </w:rPr>
        <w:t xml:space="preserve"> La colada del paquete de chapa se carga al recibirlo (FAB-01) y otra vez al marcar (FAB-02): así cada rango de series queda unido a su certificado.</w:t>
      </w:r>
    </w:p>
    <w:p>
      <w:pPr>
        <w:pStyle w:val="ListParagraph"/>
        <w:numPr>
          <w:ilvl w:val="0"/>
          <w:numId w:val="2"/>
        </w:numPr>
        <w:spacing w:after="40" w:before="0" w:line="276"/>
      </w:pPr>
      <w:r>
        <w:rPr>
          <w:rFonts w:ascii="Arial" w:cs="Arial" w:eastAsia="Arial" w:hAnsi="Arial"/>
          <w:b/>
          <w:bCs/>
          <w:color w:val="000000"/>
          <w:sz w:val="19"/>
          <w:szCs w:val="19"/>
        </w:rPr>
        <w:t xml:space="preserve">A lo largo de la línea.</w:t>
      </w:r>
      <w:r>
        <w:rPr>
          <w:rFonts w:ascii="Arial" w:cs="Arial" w:eastAsia="Arial" w:hAnsi="Arial"/>
          <w:color w:val="000000"/>
          <w:sz w:val="19"/>
          <w:szCs w:val="19"/>
        </w:rPr>
        <w:t xml:space="preserve"> Cada ficha lleva el lote y el rango de series del marcado. Buscando un número aparece cada ficha cuyo rango lo contiene, en orden: marcado, soldaduras, espesor, PH, defectos, pintado, pérdidas, PT.</w:t>
      </w:r>
    </w:p>
    <w:p>
      <w:pPr>
        <w:pStyle w:val="ListParagraph"/>
        <w:numPr>
          <w:ilvl w:val="0"/>
          <w:numId w:val="2"/>
        </w:numPr>
        <w:spacing w:after="40" w:before="0" w:line="276"/>
      </w:pPr>
      <w:r>
        <w:rPr>
          <w:rFonts w:ascii="Arial" w:cs="Arial" w:eastAsia="Arial" w:hAnsi="Arial"/>
          <w:b/>
          <w:bCs/>
          <w:color w:val="000000"/>
          <w:sz w:val="19"/>
          <w:szCs w:val="19"/>
        </w:rPr>
        <w:t xml:space="preserve">Hacia adelante.</w:t>
      </w:r>
      <w:r>
        <w:rPr>
          <w:rFonts w:ascii="Arial" w:cs="Arial" w:eastAsia="Arial" w:hAnsi="Arial"/>
          <w:color w:val="000000"/>
          <w:sz w:val="19"/>
          <w:szCs w:val="19"/>
        </w:rPr>
        <w:t xml:space="preserve"> El pallet guarda sus series y su lugar; al despacharlo queda el remito y el vehículo.</w:t>
      </w:r>
    </w:p>
    <w:p>
      <w:pPr>
        <w:pStyle w:val="ListParagraph"/>
        <w:numPr>
          <w:ilvl w:val="0"/>
          <w:numId w:val="2"/>
        </w:numPr>
        <w:spacing w:after="40" w:before="0" w:line="276"/>
      </w:pPr>
      <w:r>
        <w:rPr>
          <w:rFonts w:ascii="Arial" w:cs="Arial" w:eastAsia="Arial" w:hAnsi="Arial"/>
          <w:b/>
          <w:bCs/>
          <w:color w:val="000000"/>
          <w:sz w:val="19"/>
          <w:szCs w:val="19"/>
        </w:rPr>
        <w:t xml:space="preserve">Revendidos y recargas.</w:t>
      </w:r>
      <w:r>
        <w:rPr>
          <w:rFonts w:ascii="Arial" w:cs="Arial" w:eastAsia="Arial" w:hAnsi="Arial"/>
          <w:color w:val="000000"/>
          <w:sz w:val="19"/>
          <w:szCs w:val="19"/>
        </w:rPr>
        <w:t xml:space="preserve"> Se buscan por el n° del fabricante o por la orden de servicio.</w:t>
      </w:r>
    </w:p>
    <w:p>
      <w:pPr>
        <w:keepNext/>
        <w:spacing w:after="60"/>
        <w:jc w:val="center"/>
      </w:pPr>
      <w:r>
        <w:drawing>
          <wp:inline distT="0" distB="0" distL="0" distR="0">
            <wp:extent cx="5762625" cy="3600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6004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9. Búsqueda del n° 5500: la ficha de marcado, la de PH y el pallet donde está hoy.</w:t>
      </w:r>
    </w:p>
    <w:p>
      <w:pPr>
        <w:pStyle w:val="Heading1"/>
        <w:keepNext/>
        <w:spacing w:after="120" w:before="240" w:line="276"/>
      </w:pPr>
      <w:r>
        <w:rPr>
          <w:rFonts w:ascii="Arial" w:cs="Arial" w:eastAsia="Arial" w:hAnsi="Arial"/>
          <w:color w:val="000000"/>
          <w:sz w:val="19"/>
          <w:szCs w:val="19"/>
        </w:rPr>
        <w:t xml:space="preserve">6. Layout de planta</w:t>
      </w:r>
    </w:p>
    <w:p>
      <w:pPr>
        <w:spacing w:after="100" w:before="0" w:line="276"/>
      </w:pPr>
      <w:r>
        <w:rPr>
          <w:rFonts w:ascii="Arial" w:cs="Arial" w:eastAsia="Arial" w:hAnsi="Arial"/>
          <w:color w:val="000000"/>
          <w:sz w:val="19"/>
          <w:szCs w:val="19"/>
        </w:rPr>
        <w:t xml:space="preserve">La pestaña usa el plano rev10 de la app de gestión interna (layout.json), con los mismos sectores y nombres. Los puestos que llevan ficha tienen un cuadradito rojo con su número; el almacén de MP muestra sus cámaras (en rojo las que ven códigos en el punto de pedido) y las zonas de PT, los lugares ocupados. Al tocar un sector se abren sus fichas y las últimas cargadas.</w:t>
      </w:r>
    </w:p>
    <w:p>
      <w:pPr>
        <w:keepNext/>
        <w:spacing w:after="60"/>
        <w:jc w:val="center"/>
      </w:pPr>
      <w:r>
        <w:drawing>
          <wp:inline distT="0" distB="0" distL="0" distR="0">
            <wp:extent cx="5762625" cy="36004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6004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10. Layout de planta con el sector de PH elegido: su ficha FAB-07 y el último registro.</w:t>
      </w:r>
    </w:p>
    <w:p>
      <w:pPr>
        <w:pStyle w:val="Heading1"/>
        <w:keepNext/>
        <w:spacing w:after="120" w:before="240" w:line="276"/>
      </w:pPr>
      <w:r>
        <w:rPr>
          <w:rFonts w:ascii="Arial" w:cs="Arial" w:eastAsia="Arial" w:hAnsi="Arial"/>
          <w:color w:val="000000"/>
          <w:sz w:val="19"/>
          <w:szCs w:val="19"/>
        </w:rPr>
        <w:t xml:space="preserve">7. Quién hace qué</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83"/>
        <w:gridCol w:w="5646"/>
        <w:gridCol w:w="2477"/>
      </w:tblGrid>
      <w:tr>
        <w:trPr>
          <w:cantSplit/>
          <w:tblHeader/>
        </w:trPr>
        <w:tc>
          <w:tcPr>
            <w:tcW w:type="dxa" w:w="17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Rol</w:t>
            </w:r>
          </w:p>
        </w:tc>
        <w:tc>
          <w:tcPr>
            <w:tcW w:type="dxa" w:w="564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 en la app</w:t>
            </w:r>
          </w:p>
        </w:tc>
        <w:tc>
          <w:tcPr>
            <w:tcW w:type="dxa" w:w="24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Cuándo</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 cámaras o conteo; emite el pedido de la tarjeta; carga FAB-01 / REC-01 al recibir</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turno y en cada recepción</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del puesto</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 la ficha de su puesto con el lote y el rango de series</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cerrar cada tanda o lote</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Revisa las no conformes; libera el lote con FAB-11</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terminar el lote</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de PT</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Ubica el pallet, mueve al andén y despacha con remito</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días fijos de cada vehículo</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REC-02 a REC-04 por orden de servicio</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cada equipo</w:t>
            </w:r>
          </w:p>
        </w:tc>
      </w:tr>
    </w:tbl>
    <w:p>
      <w:pPr>
        <w:spacing w:after="120"/>
      </w:pPr>
    </w:p>
    <w:p>
      <w:pPr>
        <w:pStyle w:val="Heading1"/>
        <w:keepNext/>
        <w:spacing w:after="120" w:before="240" w:line="276"/>
      </w:pPr>
      <w:r>
        <w:rPr>
          <w:rFonts w:ascii="Arial" w:cs="Arial" w:eastAsia="Arial" w:hAnsi="Arial"/>
          <w:color w:val="000000"/>
          <w:sz w:val="19"/>
          <w:szCs w:val="19"/>
        </w:rPr>
        <w:t xml:space="preserve">8. Lo que queda como criterio o por confirmar</w:t>
      </w:r>
    </w:p>
    <w:p>
      <w:pPr>
        <w:pStyle w:val="ListParagraph"/>
        <w:numPr>
          <w:ilvl w:val="0"/>
          <w:numId w:val="2"/>
        </w:numPr>
        <w:spacing w:after="40" w:before="0" w:line="276"/>
      </w:pPr>
      <w:r>
        <w:rPr>
          <w:rFonts w:ascii="Arial" w:cs="Arial" w:eastAsia="Arial" w:hAnsi="Arial"/>
          <w:color w:val="000000"/>
          <w:sz w:val="19"/>
          <w:szCs w:val="19"/>
        </w:rPr>
        <w:t xml:space="preserve">15 mm y 20 mm del marcado (ubicación fija en la chapa): criterio para librar el cordón y el bordón.</w:t>
      </w:r>
    </w:p>
    <w:p>
      <w:pPr>
        <w:pStyle w:val="ListParagraph"/>
        <w:numPr>
          <w:ilvl w:val="0"/>
          <w:numId w:val="2"/>
        </w:numPr>
        <w:spacing w:after="40" w:before="0" w:line="276"/>
      </w:pPr>
      <w:r>
        <w:rPr>
          <w:rFonts w:ascii="Arial" w:cs="Arial" w:eastAsia="Arial" w:hAnsi="Arial"/>
          <w:color w:val="000000"/>
          <w:sz w:val="19"/>
          <w:szCs w:val="19"/>
        </w:rPr>
        <w:t xml:space="preserve">Una cámara por almacén y la señal física de cada estantería: criterio; falta elegir el equipo y el software de visión.</w:t>
      </w:r>
    </w:p>
    <w:p>
      <w:pPr>
        <w:pStyle w:val="ListParagraph"/>
        <w:numPr>
          <w:ilvl w:val="0"/>
          <w:numId w:val="2"/>
        </w:numPr>
        <w:spacing w:after="40" w:before="0" w:line="276"/>
      </w:pPr>
      <w:r>
        <w:rPr>
          <w:rFonts w:ascii="Arial" w:cs="Arial" w:eastAsia="Arial" w:hAnsi="Arial"/>
          <w:color w:val="000000"/>
          <w:sz w:val="19"/>
          <w:szCs w:val="19"/>
        </w:rPr>
        <w:t xml:space="preserve">Colores del PT por mes (4 que rotan): criterio; se pueden alinear con la regla de colores del Word de carros.</w:t>
      </w:r>
    </w:p>
    <w:p>
      <w:pPr>
        <w:pStyle w:val="ListParagraph"/>
        <w:numPr>
          <w:ilvl w:val="0"/>
          <w:numId w:val="2"/>
        </w:numPr>
        <w:spacing w:after="40" w:before="0" w:line="276"/>
      </w:pPr>
      <w:r>
        <w:rPr>
          <w:rFonts w:ascii="Arial" w:cs="Arial" w:eastAsia="Arial" w:hAnsi="Arial"/>
          <w:color w:val="000000"/>
          <w:sz w:val="19"/>
          <w:szCs w:val="19"/>
        </w:rPr>
        <w:t xml:space="preserve">Reventa y sustitutos no tienen sector propio en el plano rev10: la app los muestra como zonas del PT.</w:t>
      </w:r>
    </w:p>
    <w:p>
      <w:pPr>
        <w:pStyle w:val="ListParagraph"/>
        <w:numPr>
          <w:ilvl w:val="0"/>
          <w:numId w:val="2"/>
        </w:numPr>
        <w:spacing w:after="40" w:before="0" w:line="276"/>
      </w:pPr>
      <w:r>
        <w:rPr>
          <w:rFonts w:ascii="Arial" w:cs="Arial" w:eastAsia="Arial" w:hAnsi="Arial"/>
          <w:color w:val="000000"/>
          <w:sz w:val="19"/>
          <w:szCs w:val="19"/>
        </w:rPr>
        <w:t xml:space="preserve">FAB-10: la lectura a las 24 h es criterio FLAMA (DOC-02 R8). FAB-06: sin tolerancia de espesor publicada, se toma ≥ nominal.</w:t>
      </w:r>
    </w:p>
    <w:p>
      <w:pPr>
        <w:pStyle w:val="ListParagraph"/>
        <w:numPr>
          <w:ilvl w:val="0"/>
          <w:numId w:val="2"/>
        </w:numPr>
        <w:spacing w:after="40" w:before="0" w:line="276"/>
      </w:pPr>
      <w:r>
        <w:rPr>
          <w:rFonts w:ascii="Arial" w:cs="Arial" w:eastAsia="Arial" w:hAnsi="Arial"/>
          <w:color w:val="000000"/>
          <w:sz w:val="19"/>
          <w:szCs w:val="19"/>
        </w:rPr>
        <w:t xml:space="preserve">La app de esta entrega guarda lo cargado en el navegador. Para usarla entre varios puestos hay que pasar los registros a la base de la app de gestión interna (la misma API y la misma base SQLite).</w:t>
      </w:r>
    </w:p>
    <w:p>
      <w:r>
        <w:br w:type="page"/>
      </w:r>
    </w:p>
    <w:p>
      <w:pPr>
        <w:pStyle w:val="Heading1"/>
        <w:keepNext/>
        <w:spacing w:after="120" w:before="240" w:line="276"/>
      </w:pPr>
      <w:r>
        <w:rPr>
          <w:rFonts w:ascii="Arial" w:cs="Arial" w:eastAsia="Arial" w:hAnsi="Arial"/>
          <w:color w:val="000000"/>
          <w:sz w:val="19"/>
          <w:szCs w:val="19"/>
        </w:rPr>
        <w:t xml:space="preserve">Anexo. Puntos de pedido de las 125 MP</w:t>
      </w:r>
    </w:p>
    <w:p>
      <w:pPr>
        <w:spacing w:after="100" w:before="0" w:line="276"/>
      </w:pPr>
      <w:r>
        <w:rPr>
          <w:rFonts w:ascii="Arial" w:cs="Arial" w:eastAsia="Arial" w:hAnsi="Arial"/>
          <w:color w:val="000000"/>
          <w:sz w:val="19"/>
          <w:szCs w:val="19"/>
        </w:rPr>
        <w:t xml:space="preserve">MP-FLAMA2035 › Stock_MP, filas 6 a 130. Unidades en la unidad de cada código; bulto = unidad de compra.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92"/>
        <w:gridCol w:w="2179"/>
        <w:gridCol w:w="495"/>
        <w:gridCol w:w="792"/>
        <w:gridCol w:w="892"/>
        <w:gridCol w:w="792"/>
        <w:gridCol w:w="1486"/>
        <w:gridCol w:w="594"/>
        <w:gridCol w:w="1784"/>
      </w:tblGrid>
      <w:tr>
        <w:trPr>
          <w:cantSplit/>
          <w:tblHeader/>
        </w:trPr>
        <w:tc>
          <w:tcPr>
            <w:tcW w:type="dxa" w:w="8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Código</w:t>
            </w:r>
          </w:p>
        </w:tc>
        <w:tc>
          <w:tcPr>
            <w:tcW w:type="dxa" w:w="217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Material</w:t>
            </w:r>
          </w:p>
        </w:tc>
        <w:tc>
          <w:tcPr>
            <w:tcW w:type="dxa" w:w="49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UM</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Seguridad</w:t>
            </w:r>
          </w:p>
        </w:tc>
        <w:tc>
          <w:tcPr>
            <w:tcW w:type="dxa" w:w="8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Punto de pedido</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Máximo</w:t>
            </w:r>
          </w:p>
        </w:tc>
        <w:tc>
          <w:tcPr>
            <w:tcW w:type="dxa" w:w="14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 compra</w:t>
            </w:r>
          </w:p>
        </w:tc>
        <w:tc>
          <w:tcPr>
            <w:tcW w:type="dxa" w:w="59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Cada (d)</w:t>
            </w:r>
          </w:p>
        </w:tc>
        <w:tc>
          <w:tcPr>
            <w:tcW w:type="dxa" w:w="178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Almacén</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0,9 × 1220 × 2440 mm (cuerpo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208,6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441,0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21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(pilas en el piso)</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1,25 × 1220 × 2440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19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(pilas en el piso)</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1,6 × 1000 × 2000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552,0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24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(pilas en el piso)</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MP-04</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2,0 × 1500 × 3000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57,0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19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(pilas en el piso)</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0,9 × 93,05 mm (cúpula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217,7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646,1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1.306,3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218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Flejes (rack + volteador)</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0,9 × 100,6 mm (fondo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252,4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749,1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1.514,7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252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Flejes (rack + volteador)</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1,25 × 162,1 mm (cúpula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257,5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515,1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258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Flejes (rack + volteador)</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MP-14</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1,25 × 146,1 mm (fondo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208,7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311,3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417,4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209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Flejes (rack + volteador)</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1,6 × 204,2 mm (cúpula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1.181,5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2.343,8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3.544,5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1,181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Flejes (rack + volteador)</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1,6 × 177,2 mm (fondo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886,4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1.758,5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2.659,3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886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Flejes (rack + volteador)</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MP-09</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2,0 × 238,7 mm (cúpula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245,0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365,6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490,0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245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Flejes (rack + volteador)</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2,0 × 205 mm (fondo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179,0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267,1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358,1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179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Flejes (rack + volteador)</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LAC 3,2 × 1500 × 3000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7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(pilas en el piso)</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LAC 4,75 × 1500 × 3000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3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(pilas en el piso)</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Casquete 10" × 3,2 mm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223,9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399,3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Contenedor de 360 u (180 cúpulas + 180 fondos, ≈ 1000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casquetes y cuplas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Casquete 12" × 3,2 mm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606,3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Contenedor de 260 u (130 cúpulas + 130 fondos, ≈ 990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casquetes y cuplas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Casquete 15" × 4,75 mm (carros 70 y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179,0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147,4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Contenedor de 116 u (58 cúpulas + 58 fondos, ≈ 890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casquetes y cuplas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Asiento de válvula M22 × 1,5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3.647,2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26.442,0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22.147,2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 u (≈ 16 kg, un turno)</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MP-19</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Asiento de válvula M30 × 1,5 (2,5 a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1.473,2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10.680,4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8.973,2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 u (≈ 15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Cupla M30 × 1,5 (carros 25 y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344,7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casquetes y cuplas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Cupla 2½" BSP (carros 70 y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81,1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91,2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40 u (24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casquetes y cuplas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Caño SAE 1010 1" × 2,0 × 6 m (manija; caño del eje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6 m (un atado por pedido)</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de caños y barras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Caño SAE 1010 1¼" × 2,0 × 6 m (caño del eje 50 a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6 m (un atado por pedido)</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de caños y barras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trefilada SAE 1045 3/4" × 4 m (eje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4 m</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de caños y barras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MP-69</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trefilada SAE 1045 1" × 6 m (eje 50 a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6 m</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de caños y barras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Arandela de tope del eje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163,3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1.042,3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Pasador partido del eje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81,7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1.021,2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MP-54/300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Rueda Ø300 × 50, buje 3/4"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149,3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72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MP-54/350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Rueda Ø350 × 60, buje 1"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227,6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72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MP-54/400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Rueda Ø400 × 60, buje 1" (carros 70 y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72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Alambre MAG ER70S-6 Ø0,9 mm (manuales)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134,8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922,5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 bobinas de 15 kg (900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soldadura y superficie</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MP-24</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Alambre MAG ER70S-6 Ø1,0 mm (carros)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Bobina de 15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Gas MAG Ar + 8 % CO₂ (Arcal 21)</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m³</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Batería de 11 cilindros con manifold (115,5 m³)</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de gases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Argón puro EN ISO 14175 I1 (costura longitudinal TIG del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m³</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10,5 m³</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de gases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MP-29</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Electrodo de tungsteno lantanado 2 % (WL20) Ø2,4 × 175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soldadura y superficie</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Disco de sensitiva 355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soldadura y superficie</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Disco de corte 115 × 1,0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25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soldadura y superficie</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Disco flap 115 mm grano 60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soldadura y superficie</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MP-94</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Mecha de acero rápido 4,5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soldadura y superficie</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Spray antiproyecciones 400 ml</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 (aerosol de 400 ml)</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soldadura y superficie</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Granalla de acero S330 / S390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3.007,6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1.000 kg (40 bolsas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soldadura y superficie</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 en polvo poliéster rojo 03-1-050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326,2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de polvo químico</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ABC 60 (manuales y sus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3.207,5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8.314,5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10.207,5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Big bag de 1.000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de polvo químico</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MP-33B</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ABC 90 (carros y sus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1.207,4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3.129,9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4.207,4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Big bag de 1.000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de polvo químico</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MP-34</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Nitrógeno seco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m³</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113,4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Pack de 12 cilindros con manifold (110 m³)</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de gases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BC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de polvo químico</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clase D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138,8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de polvo químico</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CO₂ líquido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de gases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Agente limpio HCFC-123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50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Concentrado AFFF 3 %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Bidón de 20 L</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Acetato de potasio Gastro K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87,4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226,5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887,4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Tambor de 200 L (4 por pallet)</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M-22 con tubo de pesca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275,3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3.275,3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3.000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M-30 con resorte, sin tubo pescante (2,5 a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344,2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1.263,0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4.844,2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1.500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MP-44/25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de carro 25 kg, sin tubo pescante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MP-44/50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de carro 50-70-100 kg, sin tubo pescante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141,7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Manómetro 1,4 MPa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635,0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7.335,0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MP-46/ABC2.5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PVC rígido,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863,8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MP-46/ABC5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PVC rígido,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264,5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3.064,5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MP-46/ABC10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PVC rígido,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215,8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MP-47/ABC50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108,6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MP-47/ABC70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70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MP-47/ABC100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Tobera ABC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275,3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3.175,3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tobera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763,8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tobera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264,5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3.064,5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MP-48/ABC10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tobera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215,8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MP-49/ABC50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98,6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MP-49/ABC70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70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MP-49/ABC100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MP-50/M22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M22</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187,1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721,6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3.187,1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MP-50/M30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M30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242,4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934,8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4.242,4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MP-50/2½</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2½"</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MP-50/OT</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(recargas, surtido por medida)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893,7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2.591,8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11.893,7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 (surtido por medida)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MP-52/ABC2.5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de pared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779,3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MP-52/ABC5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de pared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328,7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3.128,7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MP-52/ABC10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de pared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219,7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vehicular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342,1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3.242,1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Tornillo y tarugo de fijación</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467,8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8.467,8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Conjunto de seguridad de CO₂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111,2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439,6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342,1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3.342,1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1.079,3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328,7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3.328,7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MP-56/ABC10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1.005,1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501,2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MP-56/ABC50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1.002,7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MP-56/ABC70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70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MP-56/ABC100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Oblea de fabricación (PBA)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5.518,8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MP-79</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Estampilla IRAM de conformidad</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517,9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6.991,5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7.517,9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de identificación AGC (CABA)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164,5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3.512,2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n° de serie GS1</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789,2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7.789,2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Faja de garantía válvula-cuello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789,2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7.789,2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de fábrica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431,6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1.664,6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7.431,6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del cilindro suelto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2.278,3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6.728,0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22.278,3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MP-62/M22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Tapón protector de rosca M22</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3.055,7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7.674,7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23.055,7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MP-62/M30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Tapón protector de rosca M30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766,5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1.925,1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5.766,5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MP-62/2½</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Tapón protector de rosca 2½"</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254,6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250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Impresos (protocolo de ensayo, remito de préstamo)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1.472,1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3.242,3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23.472,1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Marbete del año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1.595,2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3.843,7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12.595,2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del recargador</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946,7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2.745,5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11.946,7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servicio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1.595,2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3.843,7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12.595,2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Estampilla y oblea de recarga (PBA)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435,1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9.078,8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de identificación DPS (PBA)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435,1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9.078,8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Faja amarilla de sustituto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DPS «sustituto habilitado»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MP-84</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AGC «es sustituto»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Esmalte sintético rojo RAL 3000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Lata de 4 L</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simple ABC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3.123,7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13.676,9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7.923,7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simple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217,8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953,5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817,8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simple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984,4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4.310,1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2.784,4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MP-59/ABC10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doble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59,6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659,6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MP-89</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caja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3.034,3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8.960,6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29.034,3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madera 1200 × 1000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Pila de 15 pallets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pallet</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48,3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1.016,3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RV-AGUA_10l</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Agua 10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371,4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producto terminado</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RV-AFFF_10l</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AFFF 10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124,2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producto terminado</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RV-AFFF_50l</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AFFF 50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producto terminado</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RV-BC_5kg</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BC 5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producto terminado</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RV-SALESK_6l</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Clase K 6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189,8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producto terminado</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RV-CO2_2kg</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CO₂ 2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123,8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269,7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894,8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producto terminado</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RV-CO2_5kg</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CO₂ 5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433,9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producto terminado</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RV-HCFC-HFC_5kg</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HCFC 5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85,5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producto terminado</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RV-CLASED_9l</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Clase D 9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producto terminado</w:t>
            </w:r>
          </w:p>
        </w:tc>
      </w:tr>
    </w:tbl>
    <w:p>
      <w:pPr>
        <w:spacing w:after="120"/>
      </w:pPr>
    </w:p>
    <w:p>
      <w:pPr>
        <w:pStyle w:val="Heading1"/>
        <w:keepNext/>
        <w:spacing w:after="120" w:before="240" w:line="276"/>
      </w:pPr>
      <w:r>
        <w:rPr>
          <w:rFonts w:ascii="Arial" w:cs="Arial" w:eastAsia="Arial" w:hAnsi="Arial"/>
          <w:color w:val="000000"/>
          <w:sz w:val="19"/>
          <w:szCs w:val="19"/>
        </w:rPr>
        <w:t xml:space="preserve">Fuentes</w:t>
      </w:r>
    </w:p>
    <w:p>
      <w:pPr>
        <w:pStyle w:val="ListParagraph"/>
        <w:numPr>
          <w:ilvl w:val="0"/>
          <w:numId w:val="2"/>
        </w:numPr>
        <w:spacing w:after="40" w:before="0" w:line="276"/>
      </w:pPr>
      <w:r>
        <w:rPr>
          <w:rFonts w:ascii="Arial" w:cs="Arial" w:eastAsia="Arial" w:hAnsi="Arial"/>
          <w:color w:val="000000"/>
          <w:sz w:val="19"/>
          <w:szCs w:val="19"/>
        </w:rPr>
        <w:t xml:space="preserve">MP-FLAMA2035.xlsx y .docx (Stock_MP, Almacenes)</w:t>
      </w:r>
    </w:p>
    <w:p>
      <w:pPr>
        <w:pStyle w:val="ListParagraph"/>
        <w:numPr>
          <w:ilvl w:val="0"/>
          <w:numId w:val="2"/>
        </w:numPr>
        <w:spacing w:after="40" w:before="0" w:line="276"/>
      </w:pPr>
      <w:r>
        <w:rPr>
          <w:rFonts w:ascii="Arial" w:cs="Arial" w:eastAsia="Arial" w:hAnsi="Arial"/>
          <w:color w:val="000000"/>
          <w:sz w:val="19"/>
          <w:szCs w:val="19"/>
        </w:rPr>
        <w:t xml:space="preserve">PTPINTADO-FLAMA2035.xlsx y .docx (Stock_PT, Almacen_PT, Despacho, Pintura)</w:t>
      </w:r>
    </w:p>
    <w:p>
      <w:pPr>
        <w:pStyle w:val="ListParagraph"/>
        <w:numPr>
          <w:ilvl w:val="0"/>
          <w:numId w:val="2"/>
        </w:numPr>
        <w:spacing w:after="40" w:before="0" w:line="276"/>
      </w:pPr>
      <w:r>
        <w:rPr>
          <w:rFonts w:ascii="Arial" w:cs="Arial" w:eastAsia="Arial" w:hAnsi="Arial"/>
          <w:color w:val="000000"/>
          <w:sz w:val="19"/>
          <w:szCs w:val="19"/>
        </w:rPr>
        <w:t xml:space="preserve">Balanceo-FLAMA2035.xlsx y .docx (Carga, Pulmones)</w:t>
      </w:r>
    </w:p>
    <w:p>
      <w:pPr>
        <w:pStyle w:val="ListParagraph"/>
        <w:numPr>
          <w:ilvl w:val="0"/>
          <w:numId w:val="2"/>
        </w:numPr>
        <w:spacing w:after="40" w:before="0" w:line="276"/>
      </w:pPr>
      <w:r>
        <w:rPr>
          <w:rFonts w:ascii="Arial" w:cs="Arial" w:eastAsia="Arial" w:hAnsi="Arial"/>
          <w:color w:val="000000"/>
          <w:sz w:val="19"/>
          <w:szCs w:val="19"/>
        </w:rPr>
        <w:t xml:space="preserve">PULMONES-FLAMA2035.docx</w:t>
      </w:r>
    </w:p>
    <w:p>
      <w:pPr>
        <w:pStyle w:val="ListParagraph"/>
        <w:numPr>
          <w:ilvl w:val="0"/>
          <w:numId w:val="2"/>
        </w:numPr>
        <w:spacing w:after="40" w:before="0" w:line="276"/>
      </w:pPr>
      <w:r>
        <w:rPr>
          <w:rFonts w:ascii="Arial" w:cs="Arial" w:eastAsia="Arial" w:hAnsi="Arial"/>
          <w:color w:val="000000"/>
          <w:sz w:val="19"/>
          <w:szCs w:val="19"/>
        </w:rPr>
        <w:t xml:space="preserve">App de gestión interna FLAMA (estructura, estilo y plano rev10)</w:t>
      </w:r>
    </w:p>
    <w:p>
      <w:pPr>
        <w:pStyle w:val="ListParagraph"/>
        <w:numPr>
          <w:ilvl w:val="0"/>
          <w:numId w:val="2"/>
        </w:numPr>
        <w:spacing w:after="40" w:before="0" w:line="276"/>
      </w:pPr>
      <w:r>
        <w:rPr>
          <w:rFonts w:ascii="Arial" w:cs="Arial" w:eastAsia="Arial" w:hAnsi="Arial"/>
          <w:color w:val="000000"/>
          <w:sz w:val="19"/>
          <w:szCs w:val="19"/>
        </w:rPr>
        <w:t xml:space="preserve">IRAM 3517-2:2020 (9.4.5, 9.4.8, 9.4.10, 9.4.13, 9.4.14, 9.6, 9.7, 9.8.2, 9.9, 9.12) · IRAM 3523 y 3550 (5.1) · Res. 349/07 PBA (art. 20, anexo IV)</w:t>
      </w:r>
    </w:p>
    <w:p>
      <w:pPr>
        <w:pStyle w:val="ListParagraph"/>
        <w:numPr>
          <w:ilvl w:val="0"/>
          <w:numId w:val="2"/>
        </w:numPr>
        <w:spacing w:after="40" w:before="0" w:line="276"/>
      </w:pPr>
      <w:r>
        <w:rPr>
          <w:rFonts w:ascii="Arial" w:cs="Arial" w:eastAsia="Arial" w:hAnsi="Arial"/>
          <w:color w:val="000000"/>
          <w:sz w:val="19"/>
          <w:szCs w:val="19"/>
        </w:rPr>
        <w:t xml:space="preserve">DOC-01 (pintura) y DOC-02 (ensayos de fabricación) del repositorio de planos</w:t>
      </w:r>
    </w:p>
    <w:p>
      <w:pPr>
        <w:pStyle w:val="ListParagraph"/>
        <w:numPr>
          <w:ilvl w:val="0"/>
          <w:numId w:val="2"/>
        </w:numPr>
        <w:spacing w:after="40" w:before="0" w:line="276"/>
      </w:pPr>
      <w:r>
        <w:rPr>
          <w:rFonts w:ascii="Arial" w:cs="Arial" w:eastAsia="Arial" w:hAnsi="Arial"/>
          <w:color w:val="000000"/>
          <w:sz w:val="19"/>
          <w:szCs w:val="19"/>
        </w:rPr>
        <w:t xml:space="preserve">ISO 9606-1, ISO 15614-1, ISO 5817, ISO 2808, ISO 2409, ASTM D5402 (se citan, no se transcriben)</w:t>
      </w:r>
    </w:p>
    <w:p>
      <w:pPr>
        <w:pStyle w:val="ListParagraph"/>
        <w:numPr>
          <w:ilvl w:val="0"/>
          <w:numId w:val="2"/>
        </w:numPr>
        <w:spacing w:after="40" w:before="0" w:line="276"/>
      </w:pPr>
      <w:r>
        <w:rPr>
          <w:rFonts w:ascii="Arial" w:cs="Arial" w:eastAsia="Arial" w:hAnsi="Arial"/>
          <w:color w:val="000000"/>
          <w:sz w:val="19"/>
          <w:szCs w:val="19"/>
        </w:rPr>
        <w:t xml:space="preserve">Planos FL_MAT (hoja 4, R7) y FL_REC (hoja 3, R3) con el marcado en el cuerpo</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5"/>
        <w:szCs w:val="15"/>
      </w:rPr>
      <w:t xml:space="preserve">Trazabilidad interna FLAMA · </w:t>
    </w:r>
    <w:r>
      <w:rPr>
        <w:rFonts w:ascii="Arial" w:cs="Arial" w:eastAsia="Arial" w:hAnsi="Arial"/>
        <w:color w:val="5959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6" w:space="2"/>
      </w:pBdr>
      <w:outlineLvl w:val="0"/>
    </w:pPr>
    <w:rPr>
      <w:rFonts w:ascii="Arial" w:cs="Arial" w:eastAsia="Arial" w:hAnsi="Arial"/>
      <w:b/>
      <w:bCs/>
      <w:color w:val="000000"/>
      <w:sz w:val="28"/>
      <w:szCs w:val="28"/>
    </w:rPr>
  </w:style>
  <w:style w:type="paragraph" w:styleId="Heading2">
    <w:name w:val="Heading 2"/>
    <w:basedOn w:val="Normal"/>
    <w:next w:val="Normal"/>
    <w:qFormat/>
    <w:pPr>
      <w:outlineLvl w:val="1"/>
    </w:pPr>
    <w:rPr>
      <w:rFonts w:ascii="Arial" w:cs="Arial" w:eastAsia="Arial" w:hAnsi="Arial"/>
      <w:b/>
      <w:bCs/>
      <w:color w:val="000000"/>
      <w:sz w:val="23"/>
      <w:szCs w:val="23"/>
    </w:rPr>
  </w:style>
  <w:style w:type="paragraph" w:styleId="Heading3">
    <w:name w:val="Heading 3"/>
    <w:basedOn w:val="Normal"/>
    <w:next w:val="Normal"/>
    <w:qFormat/>
    <w:pPr>
      <w:outlineLvl w:val="2"/>
    </w:pPr>
    <w:rPr>
      <w:rFonts w:ascii="Arial" w:cs="Arial" w:eastAsia="Arial" w:hAnsi="Arial"/>
      <w:b/>
      <w:bCs/>
      <w:color w:val="595959"/>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030143c602d3842504c74746274cc9605efc019.png"/><Relationship Id="rId9" Type="http://schemas.openxmlformats.org/officeDocument/2006/relationships/image" Target="media/e6fa98458e682070a8452d5efe03517fee16fa07.png"/><Relationship Id="rId10" Type="http://schemas.openxmlformats.org/officeDocument/2006/relationships/image" Target="media/32bc197827e3ca763c07068c6537f40150f06f0d.png"/><Relationship Id="rId11" Type="http://schemas.openxmlformats.org/officeDocument/2006/relationships/image" Target="media/84e86593f84d37136ba687498a2eee4216da1c76.png"/><Relationship Id="rId12" Type="http://schemas.openxmlformats.org/officeDocument/2006/relationships/image" Target="media/f1d85cbe8fa05826b85c7ef5b2c5b6f48f2f213a.png"/><Relationship Id="rId13" Type="http://schemas.openxmlformats.org/officeDocument/2006/relationships/image" Target="media/079c295bd4282fc6b4cb04cc9cc8da40eb5bde65.png"/><Relationship Id="rId14" Type="http://schemas.openxmlformats.org/officeDocument/2006/relationships/image" Target="media/2eebd6b5f8c2806edf956700725d6fe8170234d2.png"/><Relationship Id="rId15" Type="http://schemas.openxmlformats.org/officeDocument/2006/relationships/image" Target="media/87a08083a81073eeea211be72b765071215d7eb0.png"/><Relationship Id="rId16" Type="http://schemas.openxmlformats.org/officeDocument/2006/relationships/image" Target="media/67b93507dc52c2a9d22f90575039d739689f26bd.png"/><Relationship Id="rId17" Type="http://schemas.openxmlformats.org/officeDocument/2006/relationships/image" Target="media/6dfacacf91ef1fd61f793d904b0323f196f5317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Trazabilidad interna FLAMA</dc:title>
  <dc:creator>FLAMA</dc:creator>
  <cp:lastModifiedBy>Un-named</cp:lastModifiedBy>
  <cp:revision>1</cp:revision>
  <dcterms:created xsi:type="dcterms:W3CDTF">2026-10-23T22:09:52.414Z</dcterms:created>
  <dcterms:modified xsi:type="dcterms:W3CDTF">2026-10-23T22:09:52.414Z</dcterms:modified>
</cp:coreProperties>
</file>

<file path=docProps/custom.xml><?xml version="1.0" encoding="utf-8"?>
<Properties xmlns="http://schemas.openxmlformats.org/officeDocument/2006/custom-properties" xmlns:vt="http://schemas.openxmlformats.org/officeDocument/2006/docPropsVTypes"/>
</file>