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center"/>
      </w:pPr>
      <w:r>
        <w:rPr>
          <w:b/>
          <w:sz w:val="32"/>
        </w:rPr>
        <w:t>DỰ ĐOÁN TỔN THƯƠNG THẬN CẤP Ở BỆNH NHÂN NHIỄM TOAN CETON DO ĐÁI THÁO ĐƯỜNG (DKA-AKI) SỬ DỤNG MÔ HÌNH XGBOOST</w:t>
      </w:r>
    </w:p>
    <w:p>
      <w:pPr>
        <w:jc w:val="center"/>
      </w:pPr>
      <w:r>
        <w:rPr>
          <w:i/>
          <w:sz w:val="24"/>
        </w:rPr>
        <w:t>Báo cáo phiên bản 2 (v2) — Mô hình XGBoost trên tập dữ liệu MIMIC-IV</w:t>
      </w:r>
    </w:p>
    <w:p/>
    <w:p>
      <w:pPr>
        <w:pStyle w:val="Heading1"/>
      </w:pPr>
      <w:r>
        <w:t>Tóm tắt (Abstract)</w:t>
      </w:r>
    </w:p>
    <w:p>
      <w:pPr/>
      <w:r>
        <w:rPr>
          <w:b w:val="0"/>
          <w:i w:val="0"/>
        </w:rPr>
        <w:t>Tổn thương thận cấp (Acute Kidney Injury – AKI) là một biến chứng nặng và thường gặp ở bệnh nhân nhiễm toan ceton do đái tháo đường (Diabetic Ketoacidosis – DKA) phải nhập đơn vị hồi sức tích cực (ICU), làm tăng tỉ lệ tử vong, kéo dài thời gian nằm viện và chi phí điều trị. Việc phát hiện sớm nguy cơ AKI giúp bác sĩ can thiệp kịp thời và cải thiện tiên lượng. Trong báo cáo này, chúng tôi xây dựng một mô hình học máy dự đoán nguy cơ AKI trong vòng một tuần kể từ khi nhập ICU cho bệnh nhân DKA, dựa trên dữ liệu trích xuất từ cơ sở dữ liệu MIMIC-IV theo nghiên cứu của Fan và cộng sự (2023). Dữ liệu gồm 970 bệnh nhân có nhãn dùng để huấn luyện và 243 bệnh nhân không nhãn dùng để dự đoán. Mỗi bệnh nhân được mô tả bằng các đặc trưng tĩnh (nhân khẩu học, điểm độ nặng, bệnh nền) và các đặc trưng động (chuỗi thời gian sinh hiệu, xét nghiệm trong 24 giờ đầu). Chúng tôi đề xuất một quy trình tiền xử lý tái sử dụng được: tổng hợp mỗi chuỗi thời gian thành ba thống kê (min/mean/max), điền khuyết bằng KNN, mã hoá biến phân loại và chuẩn hoá, tạo ra bảng đặc trưng 970 × 77. Mô hình đề xuất là XGBoost — mô hình tốt nhất trong nghiên cứu gốc — với cơ chế bù mất cân bằng lớp bằng tham số scale_pos_weight. Trên tập kiểm thử nội bộ (20% dữ liệu huấn luyện, chia phân tầng), XGBoost đạt AUC = 0,817, độ nhạy (sensitivity) = 0,720 và F1 = 0,697, vượt mô hình nền Random Forest (AUC 0,806) và tương đương kết quả của bài báo gốc (AUC ≈ 0,800). Phân tích độ quan trọng đặc trưng cho thấy các điểm độ nặng (SAPS II, SOFA, OASIS), eGFR, BUN, tuổi và cân nặng đóng góp nhiều nhất — phù hợp với y văn. Kết quả khẳng định tính hiệu quả của XGBoost cho bài toán dự đoán DKA-AKI và chỉ ra các hướng cải tiến tiếp theo về tinh chỉnh siêu tham số và lựa chọn đặc trưng.</w:t>
      </w:r>
    </w:p>
    <w:p>
      <w:pPr>
        <w:pStyle w:val="Heading1"/>
      </w:pPr>
      <w:r>
        <w:t>Các đóng góp chính của báo cáo (Highlight)</w:t>
      </w:r>
    </w:p>
    <w:p>
      <w:pPr>
        <w:ind w:left="360"/>
      </w:pPr>
      <w:r>
        <w:t>•  Xây dựng và tái hiện một quy trình tiền xử lý hoàn chỉnh, tái sử dụng được cho dữ liệu DKA-AKI từ MIMIC-IV: làm phẳng (flatten) bản ghi ICU thành một dòng/bệnh nhân bằng cách tổng hợp chuỗi thời gian theo min/mean/max, qua đó giữ lại tín hiệu cực trị (đỉnh BUN/creatinine, huyết áp thấp nhất) mà cách lấy giá trị đầu tiên của bài báo gốc bỏ sót.</w:t>
      </w:r>
    </w:p>
    <w:p>
      <w:pPr>
        <w:ind w:left="360"/>
      </w:pPr>
      <w:r>
        <w:t>•  Triển khai mô hình XGBoost cho bài toán, đạt AUC = 0,817 trên tập kiểm thử nội bộ — vượt mô hình nền Random Forest (0,806) và tương đương kết quả công bố của bài báo gốc (≈ 0,800), đồng thời cải thiện rõ độ nhạy (0,720 so với 0,667) — yếu tố quan trọng về mặt lâm sàng vì giảm số ca AKI bị bỏ sót.</w:t>
      </w:r>
    </w:p>
    <w:p>
      <w:pPr>
        <w:ind w:left="360"/>
      </w:pPr>
      <w:r>
        <w:t>•  Đề xuất cơ chế chống rò rỉ dữ liệu (data leakage) bằng cách lưu lại bộ tiền xử lý đã khớp trên tập huấn luyện (preprocessor.joblib) và chỉ áp dụng transform (không fit lại) trên tập kiểm thử, bảo đảm đánh giá trung thực.</w:t>
      </w:r>
    </w:p>
    <w:p>
      <w:pPr>
        <w:ind w:left="360"/>
      </w:pPr>
      <w:r>
        <w:t>•  Xử lý mất cân bằng lớp (38,9% dương tính) bằng tham số scale_pos_weight của XGBoost, tương đương class_weight='balanced', và đánh giá toàn diện bằng bộ độ đo lâm sàng (AUC, độ nhạy, độ đặc hiệu, độ chính xác, F1).</w:t>
      </w:r>
    </w:p>
    <w:p>
      <w:pPr>
        <w:pStyle w:val="Heading1"/>
      </w:pPr>
      <w:r>
        <w:t>Từ khóa (Keywords)</w:t>
      </w:r>
    </w:p>
    <w:p>
      <w:pPr/>
      <w:r>
        <w:rPr>
          <w:b w:val="0"/>
          <w:i w:val="0"/>
        </w:rPr>
        <w:t>Tổn thương thận cấp (Acute Kidney Injury); Nhiễm toan ceton đái tháo đường (Diabetic Ketoacidosis); XGBoost; Học máy (Machine Learning); MIMIC-IV; Mô hình dự đoán lâm sàng (Clinical Prediction Model); Mất cân bằng dữ liệu (Class Imbalance).</w:t>
      </w:r>
    </w:p>
    <w:p>
      <w:pPr>
        <w:pStyle w:val="Heading1"/>
      </w:pPr>
      <w:r>
        <w:t>I. Giới thiệu (Introduction)</w:t>
      </w:r>
    </w:p>
    <w:p>
      <w:pPr/>
      <w:r>
        <w:rPr>
          <w:b w:val="0"/>
          <w:i w:val="0"/>
        </w:rPr>
        <w:t>Học máy ngày càng đóng vai trò quan trọng trong y học, đặc biệt trong các mô hình dự đoán lâm sàng nhằm hỗ trợ chẩn đoán, tiên lượng và ra quyết định điều trị. Sự sẵn có của các cơ sở dữ liệu chăm sóc tích cực quy mô lớn như MIMIC-IV đã tạo điều kiện cho việc phát triển và kiểm chứng các mô hình dự đoán nguy cơ trên dữ liệu thực tế của bệnh nhân nặng.</w:t>
      </w:r>
    </w:p>
    <w:p>
      <w:pPr/>
      <w:r>
        <w:rPr>
          <w:b w:val="0"/>
          <w:i w:val="0"/>
        </w:rPr>
        <w:t>Nhiễm toan ceton do đái tháo đường (DKA) là một cấp cứu nội tiết – chuyển hoá thường gặp. Một trong những biến chứng nguy hiểm của DKA là tổn thương thận cấp (AKI), được định nghĩa theo tiêu chuẩn KDIGO dựa trên thay đổi creatinine huyết thanh và/hoặc lượng nước tiểu. AKI làm tăng nguy cơ tử vong, kéo dài thời gian nằm ICU và có thể tiến triển thành bệnh thận mạn. Vì vậy, bài toán đặt ra là: dự đoán sớm liệu một bệnh nhân DKA có phát triển AKI trong vòng một tuần kể từ khi nhập ICU hay không — một bài toán phân loại nhị phân.</w:t>
      </w:r>
    </w:p>
    <w:p>
      <w:pPr/>
      <w:r>
        <w:rPr>
          <w:b w:val="0"/>
          <w:i w:val="0"/>
        </w:rPr>
        <w:t>Các nghiên cứu trước đây thường tiếp cận bài toán dự đoán AKI bằng các mô hình hồi quy logistic truyền thống hoặc các mô hình học máy đơn lẻ. Hạn chế thường gặp gồm: (i) chỉ sử dụng một giá trị đo tại thời điểm nhập viện, bỏ phí phần lớn thông tin chuỗi thời gian thu được trong ICU; (ii) số chiều đặc trưng lớn so với cỡ mẫu, dễ gây quá khớp (overfitting); và (iii) dữ liệu thường mất cân bằng giữa nhóm có và không có biến cố. Đặc biệt, Fan và cộng sự (2023) đã so sánh 8 thuật toán học máy trên dữ liệu DKA-AKI trích từ MIMIC-IV và kết luận XGBoost cho hiệu năng tốt nhất (AUC validation ≈ 0,80).</w:t>
      </w:r>
    </w:p>
    <w:p>
      <w:pPr/>
      <w:r>
        <w:rPr>
          <w:b w:val="0"/>
          <w:i w:val="0"/>
        </w:rPr>
        <w:t>Trong báo cáo này, chúng tôi kế thừa hướng tiếp cận đó nhưng cải tiến ở khâu biểu diễn đặc trưng và xây dựng một pipeline tái lập được. Thay vì chỉ lấy giá trị đầu tiên, mỗi chuỗi thời gian được tổng hợp thành min/mean/max nhằm giữ lại các cực trị mang ý nghĩa lâm sàng. Mô hình đề xuất là XGBoost với cơ chế bù mất cân bằng lớp. Đây là phiên bản v2 của dự án, kế thừa và so sánh trực tiếp với phiên bản v1 (mô hình nền Random Forest) trên cùng một tập kiểm thử nội bộ. Đóng góp chính của báo cáo là một quy trình tiền xử lý – huấn luyện – dự đoán hoàn chỉnh, chống rò rỉ dữ liệu, cùng kết quả thực nghiệm cho thấy XGBoost vượt mô hình nền và tương đương bài báo gốc.</w:t>
      </w:r>
    </w:p>
    <w:p>
      <w:pPr>
        <w:pStyle w:val="Heading1"/>
      </w:pPr>
      <w:r>
        <w:t>II. Các nghiên cứu liên quan (Related Works)</w:t>
      </w:r>
    </w:p>
    <w:p>
      <w:pPr/>
      <w:r>
        <w:rPr>
          <w:b w:val="0"/>
          <w:i w:val="0"/>
        </w:rPr>
        <w:t>Bài báo nền tảng của dự án là Fan và cộng sự (2023), “Development and validation of a machine learning model to predict acute kidney injury in patients with diabetic ketoacidosis”, đăng trên Frontiers in Public Health. Nghiên cứu này trích xuất 1.322 bệnh nhân DKA từ MIMIC-IV, chia 85% huấn luyện / 15% kiểm thử, dùng phương pháp LASSO-CV để lựa chọn đặc trưng (rút gọn còn 7 biến) và so sánh 8 mô hình học máy: XGBoost, hồi quy logistic, LightGBM, AdaBoost, Gaussian Naïve Bayes, mạng nơ-ron perceptron đa lớp (MLP), Complement Naïve Bayes và máy vector hỗ trợ (SVM). XGBoost đạt AUC huấn luyện 0,835 và AUC kiểm thử 0,800 — cao nhất trong 8 mô hình. Năm đặc trưng quan trọng nhất gồm BUN, lượng nước tiểu, cân nặng, tuổi và số lượng tiểu cầu (PLT).</w:t>
      </w:r>
    </w:p>
    <w:p>
      <w:pPr/>
      <w:r>
        <w:rPr>
          <w:b w:val="0"/>
          <w:i w:val="0"/>
        </w:rPr>
        <w:t>Về phương pháp luận, hướng tiếp cận này nằm trong dòng nghiên cứu sử dụng các mô hình cây tăng cường gradient (gradient boosting). XGBoost (Chen &amp; Guestrin, 2016) là một hiện thực hiệu quả của gradient boosting, xây dựng tuần tự các cây quyết định trong đó mỗi cây mới sửa lỗi của tổ hợp các cây trước, kết hợp điều chuẩn (regularization) để chống quá khớp; mô hình này liên tục cho kết quả tốt trên dữ liệu bảng. Random Forest (Breiman, 2001) — dùng làm mô hình nền v1 — là tổ hợp song song nhiều cây độc lập, giảm phương sai bằng cách lấy mẫu bootstrap và ngẫu nhiên hoá đặc trưng.</w:t>
      </w:r>
    </w:p>
    <w:p>
      <w:pPr/>
      <w:r>
        <w:rPr>
          <w:b w:val="0"/>
          <w:i w:val="0"/>
        </w:rPr>
        <w:t>Các kỹ thuật liên quan khác được áp dụng trong dự án bao gồm: lựa chọn đặc trưng bằng LASSO (Tibshirani, 1996) để giảm số chiều và chống quá khớp; xử lý mất cân bằng lớp bằng trọng số lớp (class weighting) thay cho lấy mẫu lại (ví dụ SMOTE); và đánh giá mô hình bằng đường cong ROC/AUC. Nguồn dữ liệu MIMIC-IV (Johnson và cộng sự) là cơ sở dữ liệu hồi sức tích cực mở, được sử dụng rộng rãi trong nghiên cứu mô hình dự đoán lâm sàng. So với bài báo gốc, điểm khác biệt chính của chúng tôi nằm ở chiến lược tổng hợp đặc trưng động (min/mean/max thay vì giá trị đầu tiên) và việc giữ nguyên một tập kiểm thử nội bộ để so sánh công bằng giữa Random Forest và XGBoost.</w:t>
      </w:r>
    </w:p>
    <w:p>
      <w:pPr>
        <w:pStyle w:val="Heading1"/>
      </w:pPr>
      <w:r>
        <w:t>III. Mô hình đề xuất (Proposal Model)</w:t>
      </w:r>
    </w:p>
    <w:p>
      <w:pPr>
        <w:pStyle w:val="Heading2"/>
      </w:pPr>
      <w:r>
        <w:t>III.1. Tập dữ liệu</w:t>
      </w:r>
    </w:p>
    <w:p>
      <w:pPr/>
      <w:r>
        <w:rPr>
          <w:b w:val="0"/>
          <w:i w:val="0"/>
        </w:rPr>
        <w:t>Dữ liệu được trích xuất từ MIMIC-IV theo nghiên cứu Fan và cộng sự (2023), mỗi bản ghi tương ứng với một lần nằm ICU của một bệnh nhân DKA. Nhãn mục tiêu akdPositive cho biết bệnh nhân có phát triển AKI trong vòng một tuần sau khi nhập ICU hay không (theo tiêu chuẩn KDIGO). Tập dữ liệu gồm hai tệp:</w:t>
      </w:r>
    </w:p>
    <w:tbl>
      <w:tblPr>
        <w:tblW w:type="auto" w:w="0"/>
        <w:tblLook w:firstColumn="1" w:firstRow="1" w:lastColumn="0" w:lastRow="0" w:noHBand="0" w:noVBand="1" w:val="04A0"/>
      </w:tblPr>
      <w:tblGrid>
        <w:gridCol w:w="2340"/>
        <w:gridCol w:w="2340"/>
        <w:gridCol w:w="2340"/>
        <w:gridCol w:w="2340"/>
      </w:tblGrid>
      <w:tr>
        <w:tc>
          <w:tcPr>
            <w:tcW w:type="dxa" w:w="2340"/>
          </w:tcPr>
          <w:p>
            <w:r/>
            <w:r>
              <w:rPr>
                <w:b/>
              </w:rPr>
              <w:t>Tệp</w:t>
            </w:r>
          </w:p>
        </w:tc>
        <w:tc>
          <w:tcPr>
            <w:tcW w:type="dxa" w:w="2340"/>
          </w:tcPr>
          <w:p>
            <w:r/>
            <w:r>
              <w:rPr>
                <w:b/>
              </w:rPr>
              <w:t>Số bản ghi</w:t>
            </w:r>
          </w:p>
        </w:tc>
        <w:tc>
          <w:tcPr>
            <w:tcW w:type="dxa" w:w="2340"/>
          </w:tcPr>
          <w:p>
            <w:r/>
            <w:r>
              <w:rPr>
                <w:b/>
              </w:rPr>
              <w:t>Có nhãn?</w:t>
            </w:r>
          </w:p>
        </w:tc>
        <w:tc>
          <w:tcPr>
            <w:tcW w:type="dxa" w:w="2340"/>
          </w:tcPr>
          <w:p>
            <w:r/>
            <w:r>
              <w:rPr>
                <w:b/>
              </w:rPr>
              <w:t>Tỉ lệ dương tính</w:t>
            </w:r>
          </w:p>
        </w:tc>
      </w:tr>
      <w:tr>
        <w:tc>
          <w:tcPr>
            <w:tcW w:type="dxa" w:w="2340"/>
          </w:tcPr>
          <w:p>
            <w:r/>
            <w:r>
              <w:rPr>
                <w:b/>
              </w:rPr>
              <w:t>train.json</w:t>
            </w:r>
          </w:p>
        </w:tc>
        <w:tc>
          <w:tcPr>
            <w:tcW w:type="dxa" w:w="2340"/>
          </w:tcPr>
          <w:p>
            <w:r/>
            <w:r>
              <w:t>970</w:t>
            </w:r>
          </w:p>
        </w:tc>
        <w:tc>
          <w:tcPr>
            <w:tcW w:type="dxa" w:w="2340"/>
          </w:tcPr>
          <w:p>
            <w:r/>
            <w:r>
              <w:t>Có (akdPositive)</w:t>
            </w:r>
          </w:p>
        </w:tc>
        <w:tc>
          <w:tcPr>
            <w:tcW w:type="dxa" w:w="2340"/>
          </w:tcPr>
          <w:p>
            <w:r/>
            <w:r>
              <w:t>377/970 = 38,9%</w:t>
            </w:r>
          </w:p>
        </w:tc>
      </w:tr>
      <w:tr>
        <w:tc>
          <w:tcPr>
            <w:tcW w:type="dxa" w:w="2340"/>
          </w:tcPr>
          <w:p>
            <w:r/>
            <w:r>
              <w:rPr>
                <w:b/>
              </w:rPr>
              <w:t>test.json</w:t>
            </w:r>
          </w:p>
        </w:tc>
        <w:tc>
          <w:tcPr>
            <w:tcW w:type="dxa" w:w="2340"/>
          </w:tcPr>
          <w:p>
            <w:r/>
            <w:r>
              <w:t>243</w:t>
            </w:r>
          </w:p>
        </w:tc>
        <w:tc>
          <w:tcPr>
            <w:tcW w:type="dxa" w:w="2340"/>
          </w:tcPr>
          <w:p>
            <w:r/>
            <w:r>
              <w:t>Không</w:t>
            </w:r>
          </w:p>
        </w:tc>
        <w:tc>
          <w:tcPr>
            <w:tcW w:type="dxa" w:w="2340"/>
          </w:tcPr>
          <w:p>
            <w:r/>
            <w:r>
              <w:t>—</w:t>
            </w:r>
          </w:p>
        </w:tc>
      </w:tr>
    </w:tbl>
    <w:p/>
    <w:p>
      <w:pPr/>
      <w:r>
        <w:rPr>
          <w:b w:val="0"/>
          <w:i w:val="0"/>
        </w:rPr>
        <w:t>Mỗi bệnh nhân được mô tả bằng 37 trường đo (measures), chia hai nhóm:</w:t>
      </w:r>
    </w:p>
    <w:p>
      <w:pPr>
        <w:ind w:left="360"/>
      </w:pPr>
      <w:r>
        <w:t>•  Đặc trưng tĩnh (20 trường): nhân khẩu học (age, gender, race), loại đái tháo đường (dka_type), mức độ bệnh gan (liver_disease), các điểm độ nặng (oasis, saps2, sofa), thời gian trước ICU (preiculos), eGFR, và các cờ bệnh nền (suy tim, bệnh phổi mạn, ung thư, tăng huyết áp, biến chứng mạch máu, tiền sử nhồi máu, nhiễm trùng tiết niệu, giai đoạn CKD).</w:t>
      </w:r>
    </w:p>
    <w:p>
      <w:pPr>
        <w:ind w:left="360"/>
      </w:pPr>
      <w:r>
        <w:t>•  Đặc trưng động (17 trường): chuỗi thời gian trong 24 giờ đầu ICU gồm sinh hiệu (hr, rr, sbp, dbp, gcs) và xét nghiệm (ag, bg, bicarbonate, bun, scr, phosphate, calcium, weight, plt, hb, wbc).</w:t>
      </w:r>
    </w:p>
    <w:p>
      <w:pPr/>
      <w:r>
        <w:rPr>
          <w:b w:val="0"/>
          <w:i w:val="0"/>
        </w:rPr>
        <w:t>Sau tiền xử lý, mỗi chuỗi thời gian được tổng hợp thành 3 thống kê (min/mean/max → 17 × 3 = 51 cột) và kết hợp với các đặc trưng tĩnh đã mã hoá, tạo thành bảng đặc trưng cuối cùng có 77 cột (X: 970 × 77).</w:t>
      </w:r>
    </w:p>
    <w:p>
      <w:pPr/>
      <w:r>
        <w:rPr>
          <w:b w:val="0"/>
          <w:i w:val="0"/>
        </w:rPr>
        <w:t>Phân chia dữ liệu: vì test.json không có nhãn, chúng tôi tách 20% dữ liệu huấn luyện theo phân tầng (stratify) làm tập kiểm thử nội bộ (validation) để ước lượng hiệu năng một cách trung thực; 80% còn lại dùng để huấn luyện. Tham số random_state = 42 được cố định để bảo đảm tái lập và để mô hình Random Forest (v1) và XGBoost (v2) được đánh giá trên cùng một tập kiểm thử.</w:t>
      </w:r>
    </w:p>
    <w:tbl>
      <w:tblPr>
        <w:tblW w:type="auto" w:w="0"/>
        <w:tblLook w:firstColumn="1" w:firstRow="1" w:lastColumn="0" w:lastRow="0" w:noHBand="0" w:noVBand="1" w:val="04A0"/>
      </w:tblPr>
      <w:tblGrid>
        <w:gridCol w:w="2340"/>
        <w:gridCol w:w="2340"/>
        <w:gridCol w:w="2340"/>
        <w:gridCol w:w="2340"/>
      </w:tblGrid>
      <w:tr>
        <w:tc>
          <w:tcPr>
            <w:tcW w:type="dxa" w:w="2340"/>
          </w:tcPr>
          <w:p>
            <w:r/>
            <w:r>
              <w:rPr>
                <w:b/>
              </w:rPr>
              <w:t>Tập</w:t>
            </w:r>
          </w:p>
        </w:tc>
        <w:tc>
          <w:tcPr>
            <w:tcW w:type="dxa" w:w="2340"/>
          </w:tcPr>
          <w:p>
            <w:r/>
            <w:r>
              <w:rPr>
                <w:b/>
              </w:rPr>
              <w:t>Số bệnh nhân</w:t>
            </w:r>
          </w:p>
        </w:tc>
        <w:tc>
          <w:tcPr>
            <w:tcW w:type="dxa" w:w="2340"/>
          </w:tcPr>
          <w:p>
            <w:r/>
            <w:r>
              <w:rPr>
                <w:b/>
              </w:rPr>
              <w:t>Tỉ lệ dương tính</w:t>
            </w:r>
          </w:p>
        </w:tc>
        <w:tc>
          <w:tcPr>
            <w:tcW w:type="dxa" w:w="2340"/>
          </w:tcPr>
          <w:p>
            <w:r/>
            <w:r>
              <w:rPr>
                <w:b/>
              </w:rPr>
              <w:t>Mục đích</w:t>
            </w:r>
          </w:p>
        </w:tc>
      </w:tr>
      <w:tr>
        <w:tc>
          <w:tcPr>
            <w:tcW w:type="dxa" w:w="2340"/>
          </w:tcPr>
          <w:p>
            <w:r/>
            <w:r>
              <w:rPr>
                <w:b/>
              </w:rPr>
              <w:t>Huấn luyện (Train)</w:t>
            </w:r>
          </w:p>
        </w:tc>
        <w:tc>
          <w:tcPr>
            <w:tcW w:type="dxa" w:w="2340"/>
          </w:tcPr>
          <w:p>
            <w:r/>
            <w:r>
              <w:t>776</w:t>
            </w:r>
          </w:p>
        </w:tc>
        <w:tc>
          <w:tcPr>
            <w:tcW w:type="dxa" w:w="2340"/>
          </w:tcPr>
          <w:p>
            <w:r/>
            <w:r>
              <w:t>38,9%</w:t>
            </w:r>
          </w:p>
        </w:tc>
        <w:tc>
          <w:tcPr>
            <w:tcW w:type="dxa" w:w="2340"/>
          </w:tcPr>
          <w:p>
            <w:r/>
            <w:r>
              <w:t>Huấn luyện mô hình</w:t>
            </w:r>
          </w:p>
        </w:tc>
      </w:tr>
      <w:tr>
        <w:tc>
          <w:tcPr>
            <w:tcW w:type="dxa" w:w="2340"/>
          </w:tcPr>
          <w:p>
            <w:r/>
            <w:r>
              <w:rPr>
                <w:b/>
              </w:rPr>
              <w:t>Kiểm thử nội bộ (Validation)</w:t>
            </w:r>
          </w:p>
        </w:tc>
        <w:tc>
          <w:tcPr>
            <w:tcW w:type="dxa" w:w="2340"/>
          </w:tcPr>
          <w:p>
            <w:r/>
            <w:r>
              <w:t>194</w:t>
            </w:r>
          </w:p>
        </w:tc>
        <w:tc>
          <w:tcPr>
            <w:tcW w:type="dxa" w:w="2340"/>
          </w:tcPr>
          <w:p>
            <w:r/>
            <w:r>
              <w:t>38,7%</w:t>
            </w:r>
          </w:p>
        </w:tc>
        <w:tc>
          <w:tcPr>
            <w:tcW w:type="dxa" w:w="2340"/>
          </w:tcPr>
          <w:p>
            <w:r/>
            <w:r>
              <w:t>Đánh giá / so sánh</w:t>
            </w:r>
          </w:p>
        </w:tc>
      </w:tr>
      <w:tr>
        <w:tc>
          <w:tcPr>
            <w:tcW w:type="dxa" w:w="2340"/>
          </w:tcPr>
          <w:p>
            <w:r/>
            <w:r>
              <w:rPr>
                <w:b/>
              </w:rPr>
              <w:t>Kiểm thử (Test)</w:t>
            </w:r>
          </w:p>
        </w:tc>
        <w:tc>
          <w:tcPr>
            <w:tcW w:type="dxa" w:w="2340"/>
          </w:tcPr>
          <w:p>
            <w:r/>
            <w:r>
              <w:t>243 → 222*</w:t>
            </w:r>
          </w:p>
        </w:tc>
        <w:tc>
          <w:tcPr>
            <w:tcW w:type="dxa" w:w="2340"/>
          </w:tcPr>
          <w:p>
            <w:r/>
            <w:r>
              <w:t>không nhãn</w:t>
            </w:r>
          </w:p>
        </w:tc>
        <w:tc>
          <w:tcPr>
            <w:tcW w:type="dxa" w:w="2340"/>
          </w:tcPr>
          <w:p>
            <w:r/>
            <w:r>
              <w:t>Dự đoán &amp; nộp kết quả</w:t>
            </w:r>
          </w:p>
        </w:tc>
      </w:tr>
    </w:tbl>
    <w:p>
      <w:pPr/>
      <w:r>
        <w:rPr>
          <w:b w:val="0"/>
          <w:i/>
        </w:rPr>
        <w:t>(*) Một bệnh nhân (subjectId) có thể có nhiều lần nhập viện/nằm ICU; theo yêu cầu, mỗi subjectId chỉ giữ một bản ghi (bản ghi đầu tiên), nên 243 bản ghi rút còn 222 bệnh nhân duy nhất khi xuất kết quả.</w:t>
      </w:r>
    </w:p>
    <w:p>
      <w:pPr>
        <w:pStyle w:val="Heading2"/>
      </w:pPr>
      <w:r>
        <w:t>III.2. Kiến trúc của mô hình đề xuất</w:t>
      </w:r>
    </w:p>
    <w:p>
      <w:pPr/>
      <w:r>
        <w:rPr>
          <w:b w:val="0"/>
          <w:i w:val="0"/>
        </w:rPr>
        <w:t>Kiến trúc tổng thể gồm hai giai đoạn nối tiếp: (A) tiền xử lý dữ liệu và (B) huấn luyện – dự đoán bằng XGBoost. Sơ đồ luồng dữ liệu tổng quát:</w:t>
      </w:r>
    </w:p>
    <w:p>
      <w:r>
        <w:rPr>
          <w:rFonts w:ascii="Consolas" w:hAnsi="Consolas"/>
          <w:sz w:val="18"/>
        </w:rPr>
        <w:t>train.json ─► [Tiền xử lý] ─► train_processed.csv (+ preprocessor.joblib)</w:t>
        <w:br/>
        <w:t xml:space="preserve">                                        │</w:t>
        <w:br/>
        <w:t xml:space="preserve">                                        ▼</w:t>
        <w:br/>
        <w:t xml:space="preserve">        Chia train/val (80/20) ─► [XGBoost] ─► Đánh giá ─► Huấn luyện lại trên toàn bộ</w:t>
        <w:br/>
        <w:t xml:space="preserve">                                        │</w:t>
        <w:br/>
        <w:t>test.json ─► (flatten + preprocessor.transform) ─► Dự đoán ─► output CSV</w:t>
      </w:r>
    </w:p>
    <w:p>
      <w:pPr/>
      <w:r>
        <w:rPr>
          <w:b w:val="0"/>
          <w:i/>
        </w:rPr>
        <w:t>(Sơ đồ chi tiết cần được vẽ lại bằng công cụ draw.io theo yêu cầu của mẫu báo cáo.)</w:t>
      </w:r>
    </w:p>
    <w:p>
      <w:pPr/>
      <w:r>
        <w:rPr>
          <w:b w:val="0"/>
          <w:i w:val="0"/>
        </w:rPr>
        <w:t>Giai đoạn A — Mô-đun tiền xử lý. Đầu vào: bản ghi JSON thô; đầu ra: ma trận đặc trưng số đã chuẩn hoá. Gồm các bước:</w:t>
      </w:r>
    </w:p>
    <w:p>
      <w:pPr>
        <w:ind w:left="360"/>
      </w:pPr>
      <w:r>
        <w:t>•  Làm phẳng (flatten): với mỗi đặc trưng động, tính min/mean/max trên chuỗi thời gian; với đặc trưng tĩnh, giữ nguyên giá trị; các cờ bệnh nền vắng mặt được điền 0 (vì chỉ ghi nhận khi có bệnh — đây là cấu trúc dữ liệu, không phải khuyết).</w:t>
      </w:r>
    </w:p>
    <w:p>
      <w:pPr>
        <w:ind w:left="360"/>
      </w:pPr>
      <w:r>
        <w:t>•  Loại đặc trưng khuyết &gt; 20% (theo quy tắc của bài báo); trên dữ liệu này không có đặc trưng đo thực sự nào vượt ngưỡng (tối đa ≈ 5,9%).</w:t>
      </w:r>
    </w:p>
    <w:p>
      <w:pPr>
        <w:ind w:left="360"/>
      </w:pPr>
      <w:r>
        <w:t>•  Điền khuyết bằng KNNImputer (k = 5) cho các giá trị số còn thiếu.</w:t>
      </w:r>
    </w:p>
    <w:p>
      <w:pPr>
        <w:ind w:left="360"/>
      </w:pPr>
      <w:r>
        <w:t>•  Mã hoá biến phân loại: gender F/M → 0/1; liver_disease NONE/MILD/SEVERE → 0/1/2 (thứ tự); race gộp 23 nhãn thành 5 nhóm rồi one-hot; dka_type (T1DM/T2DM/Other) one-hot.</w:t>
      </w:r>
    </w:p>
    <w:p>
      <w:pPr>
        <w:ind w:left="360"/>
      </w:pPr>
      <w:r>
        <w:t>•  Chuẩn hoá (StandardScaler) các cột số. Bộ imputer + scaler + danh sách cột được lưu vào preprocessor.joblib để tái sử dụng (chỉ transform) trên test, chống rò rỉ dữ liệu.</w:t>
      </w:r>
    </w:p>
    <w:p>
      <w:pPr/>
      <w:r>
        <w:rPr>
          <w:b w:val="0"/>
          <w:i w:val="0"/>
        </w:rPr>
        <w:t>Giai đoạn B — Mô-đun mô hình XGBoost. Đầu vào: ma trận X (970 × 77) và nhãn y; đầu ra: xác suất dự đoán AKI cho mỗi bệnh nhân. XGBoost (eXtreme Gradient Boosting) xây dựng tuần tự các cây quyết định theo hướng gradient: mỗi cây mới học phần dư (lỗi) của tổ hợp các cây trước, kết hợp điều chuẩn L2 và lấy mẫu ngẫu nhiên hàng/cột để chống quá khớp. Siêu tham số sử dụng: n_estimators = 400, learning_rate = 0,05, max_depth = 4, min_child_weight = 2, subsample = 0,9, colsample_bytree = 0,9, reg_lambda = 1,0, objective = 'binary:logistic', eval_metric = 'auc', random_state = 42. Mất cân bằng lớp được xử lý bằng scale_pos_weight = số_âm/số_dương = 1,570. Sau khi đánh giá trên validation, mô hình được huấn luyện lại trên toàn bộ 970 mẫu (xgb_final) trước khi dự đoán tập test.</w:t>
      </w:r>
    </w:p>
    <w:p>
      <w:pPr>
        <w:pStyle w:val="Heading2"/>
      </w:pPr>
      <w:r>
        <w:t>III.3. Các độ đo đánh giá</w:t>
      </w:r>
    </w:p>
    <w:p>
      <w:pPr/>
      <w:r>
        <w:rPr>
          <w:b w:val="0"/>
          <w:i w:val="0"/>
        </w:rPr>
        <w:t>Theo bài báo gốc, mô hình được đánh giá bằng các độ đo sau. Gọi TP, TN, FP, FN lần lượt là số dương tính thật, âm tính thật, dương tính giả và âm tính giả.</w:t>
      </w:r>
    </w:p>
    <w:p>
      <w:pPr>
        <w:ind w:left="360"/>
      </w:pPr>
      <w:r>
        <w:t>•  Độ chính xác (Accuracy) = (TP + TN) / (TP + TN + FP + FN): tỉ lệ dự đoán đúng trên toàn bộ mẫu.</w:t>
      </w:r>
    </w:p>
    <w:p>
      <w:pPr>
        <w:ind w:left="360"/>
      </w:pPr>
      <w:r>
        <w:t>•  Độ nhạy (Sensitivity / Recall) = TP / (TP + FN): tỉ lệ ca AKI thực sự được phát hiện đúng. Rất quan trọng về lâm sàng vì bỏ sót AKI nguy hiểm hơn báo động giả.</w:t>
      </w:r>
    </w:p>
    <w:p>
      <w:pPr>
        <w:ind w:left="360"/>
      </w:pPr>
      <w:r>
        <w:t>•  Độ đặc hiệu (Specificity) = TN / (TN + FP): tỉ lệ ca không AKI được nhận đúng.</w:t>
      </w:r>
    </w:p>
    <w:p>
      <w:pPr>
        <w:ind w:left="360"/>
      </w:pPr>
      <w:r>
        <w:t>•  F1 (lớp AKI) = 2·Precision·Recall / (Precision + Recall), với Precision = TP / (TP + FP): trung bình điều hoà giữa độ chính xác dương tính và độ nhạy.</w:t>
      </w:r>
    </w:p>
    <w:p>
      <w:pPr>
        <w:ind w:left="360"/>
      </w:pPr>
      <w:r>
        <w:t>•  AUC (diện tích dưới đường cong ROC): khả năng phân biệt hai lớp ở mọi ngưỡng; càng gần 1 càng tốt, 0,5 là ngẫu nhiên. Đây là độ đo chính để chọn mô hình (theo bài báo gốc).</w:t>
      </w:r>
    </w:p>
    <w:p>
      <w:pPr>
        <w:pStyle w:val="Heading1"/>
      </w:pPr>
      <w:r>
        <w:t>IV. Thử nghiệm và đánh giá (Experiments and Discussions)</w:t>
      </w:r>
    </w:p>
    <w:p>
      <w:pPr>
        <w:pStyle w:val="Heading2"/>
      </w:pPr>
      <w:r>
        <w:t>IV.1. Thử nghiệm</w:t>
      </w:r>
    </w:p>
    <w:p>
      <w:pPr/>
      <w:r>
        <w:rPr>
          <w:b w:val="0"/>
          <w:i w:val="0"/>
        </w:rPr>
        <w:t>Môi trường thực nghiệm: JupyterLab chạy trong Docker, Python 3.11, với các thư viện được ghim phiên bản trong requirements.txt (scikit-learn 1.1.3, numpy 1.26.4, pandas 2.1.4) và xgboost 2.1.4 (bổ sung cho phiên bản v2). Toàn bộ quá trình được cố định random_state = 42 để tái lập. Do cỡ dữ liệu nhỏ (970 mẫu × 77 đặc trưng), thời gian huấn luyện XGBoost chỉ ở mức vài giây trên CPU thông thường; bước tiền xử lý và suy luận trên tập test cũng hoàn tất trong thời gian ngắn.</w:t>
      </w:r>
    </w:p>
    <w:p>
      <w:pPr/>
      <w:r>
        <w:rPr>
          <w:b w:val="0"/>
          <w:i w:val="0"/>
        </w:rPr>
        <w:t>Các thử nghiệm được thực hiện: (1) huấn luyện XGBoost trên 776 mẫu và đánh giá trên 194 mẫu validation bằng bộ độ đo ở mục III.3; (2) so sánh hiệu năng train so với validation để kiểm tra quá khớp; (3) phân tích độ quan trọng đặc trưng; (4) huấn luyện lại trên toàn bộ 970 mẫu và suy luận trên 243 bản ghi test; (5) so sánh trực tiếp với mô hình nền Random Forest (v1) trên cùng tập validation và với kết quả công bố của bài báo gốc.</w:t>
      </w:r>
    </w:p>
    <w:p>
      <w:pPr>
        <w:pStyle w:val="Heading2"/>
      </w:pPr>
      <w:r>
        <w:t>IV.2. Đánh giá</w:t>
      </w:r>
    </w:p>
    <w:p>
      <w:pPr/>
      <w:r>
        <w:rPr>
          <w:b w:val="0"/>
          <w:i w:val="0"/>
        </w:rPr>
        <w:t>Kết quả trên tập kiểm thử nội bộ (194 bệnh nhân), so sánh XGBoost (v2) với mô hình nền Random Forest (v1):</w:t>
      </w:r>
    </w:p>
    <w:tbl>
      <w:tblPr>
        <w:tblW w:type="auto" w:w="0"/>
        <w:tblLook w:firstColumn="1" w:firstRow="1" w:lastColumn="0" w:lastRow="0" w:noHBand="0" w:noVBand="1" w:val="04A0"/>
      </w:tblPr>
      <w:tblGrid>
        <w:gridCol w:w="3120"/>
        <w:gridCol w:w="3120"/>
        <w:gridCol w:w="3120"/>
      </w:tblGrid>
      <w:tr>
        <w:tc>
          <w:tcPr>
            <w:tcW w:type="dxa" w:w="3120"/>
          </w:tcPr>
          <w:p>
            <w:r/>
            <w:r>
              <w:rPr>
                <w:b/>
              </w:rPr>
              <w:t>Độ đo</w:t>
            </w:r>
          </w:p>
        </w:tc>
        <w:tc>
          <w:tcPr>
            <w:tcW w:type="dxa" w:w="3120"/>
          </w:tcPr>
          <w:p>
            <w:r/>
            <w:r>
              <w:rPr>
                <w:b/>
              </w:rPr>
              <w:t>XGBoost (v2)</w:t>
            </w:r>
          </w:p>
        </w:tc>
        <w:tc>
          <w:tcPr>
            <w:tcW w:type="dxa" w:w="3120"/>
          </w:tcPr>
          <w:p>
            <w:r/>
            <w:r>
              <w:rPr>
                <w:b/>
              </w:rPr>
              <w:t>Random Forest (v1)</w:t>
            </w:r>
          </w:p>
        </w:tc>
      </w:tr>
      <w:tr>
        <w:tc>
          <w:tcPr>
            <w:tcW w:type="dxa" w:w="3120"/>
          </w:tcPr>
          <w:p>
            <w:r/>
            <w:r>
              <w:rPr>
                <w:b/>
              </w:rPr>
              <w:t>AUC</w:t>
            </w:r>
          </w:p>
        </w:tc>
        <w:tc>
          <w:tcPr>
            <w:tcW w:type="dxa" w:w="3120"/>
          </w:tcPr>
          <w:p>
            <w:r/>
            <w:r>
              <w:t>0,817</w:t>
            </w:r>
          </w:p>
        </w:tc>
        <w:tc>
          <w:tcPr>
            <w:tcW w:type="dxa" w:w="3120"/>
          </w:tcPr>
          <w:p>
            <w:r/>
            <w:r>
              <w:t>0,806</w:t>
            </w:r>
          </w:p>
        </w:tc>
      </w:tr>
      <w:tr>
        <w:tc>
          <w:tcPr>
            <w:tcW w:type="dxa" w:w="3120"/>
          </w:tcPr>
          <w:p>
            <w:r/>
            <w:r>
              <w:rPr>
                <w:b/>
              </w:rPr>
              <w:t>Accuracy (Độ chính xác)</w:t>
            </w:r>
          </w:p>
        </w:tc>
        <w:tc>
          <w:tcPr>
            <w:tcW w:type="dxa" w:w="3120"/>
          </w:tcPr>
          <w:p>
            <w:r/>
            <w:r>
              <w:t>0,758</w:t>
            </w:r>
          </w:p>
        </w:tc>
        <w:tc>
          <w:tcPr>
            <w:tcW w:type="dxa" w:w="3120"/>
          </w:tcPr>
          <w:p>
            <w:r/>
            <w:r>
              <w:t>0,753</w:t>
            </w:r>
          </w:p>
        </w:tc>
      </w:tr>
      <w:tr>
        <w:tc>
          <w:tcPr>
            <w:tcW w:type="dxa" w:w="3120"/>
          </w:tcPr>
          <w:p>
            <w:r/>
            <w:r>
              <w:rPr>
                <w:b/>
              </w:rPr>
              <w:t>Sensitivity (Độ nhạy, AKI)</w:t>
            </w:r>
          </w:p>
        </w:tc>
        <w:tc>
          <w:tcPr>
            <w:tcW w:type="dxa" w:w="3120"/>
          </w:tcPr>
          <w:p>
            <w:r/>
            <w:r>
              <w:t>0,720</w:t>
            </w:r>
          </w:p>
        </w:tc>
        <w:tc>
          <w:tcPr>
            <w:tcW w:type="dxa" w:w="3120"/>
          </w:tcPr>
          <w:p>
            <w:r/>
            <w:r>
              <w:t>0,667</w:t>
            </w:r>
          </w:p>
        </w:tc>
      </w:tr>
      <w:tr>
        <w:tc>
          <w:tcPr>
            <w:tcW w:type="dxa" w:w="3120"/>
          </w:tcPr>
          <w:p>
            <w:r/>
            <w:r>
              <w:rPr>
                <w:b/>
              </w:rPr>
              <w:t>Specificity (Độ đặc hiệu)</w:t>
            </w:r>
          </w:p>
        </w:tc>
        <w:tc>
          <w:tcPr>
            <w:tcW w:type="dxa" w:w="3120"/>
          </w:tcPr>
          <w:p>
            <w:r/>
            <w:r>
              <w:t>0,782</w:t>
            </w:r>
          </w:p>
        </w:tc>
        <w:tc>
          <w:tcPr>
            <w:tcW w:type="dxa" w:w="3120"/>
          </w:tcPr>
          <w:p>
            <w:r/>
            <w:r>
              <w:t>0,807</w:t>
            </w:r>
          </w:p>
        </w:tc>
      </w:tr>
      <w:tr>
        <w:tc>
          <w:tcPr>
            <w:tcW w:type="dxa" w:w="3120"/>
          </w:tcPr>
          <w:p>
            <w:r/>
            <w:r>
              <w:rPr>
                <w:b/>
              </w:rPr>
              <w:t>F1 (AKI)</w:t>
            </w:r>
          </w:p>
        </w:tc>
        <w:tc>
          <w:tcPr>
            <w:tcW w:type="dxa" w:w="3120"/>
          </w:tcPr>
          <w:p>
            <w:r/>
            <w:r>
              <w:t>0,697</w:t>
            </w:r>
          </w:p>
        </w:tc>
        <w:tc>
          <w:tcPr>
            <w:tcW w:type="dxa" w:w="3120"/>
          </w:tcPr>
          <w:p>
            <w:r/>
            <w:r>
              <w:t>0,676</w:t>
            </w:r>
          </w:p>
        </w:tc>
      </w:tr>
    </w:tbl>
    <w:p/>
    <w:p>
      <w:pPr/>
      <w:r>
        <w:rPr>
          <w:b w:val="0"/>
          <w:i w:val="0"/>
        </w:rPr>
        <w:t>Ma trận nhầm lẫn của XGBoost [[TN, FP], [FN, TP]] = [[93, 26], [21, 54]]: trong 75 ca AKI thực sự, mô hình phát hiện đúng 54 ca và bỏ sót 21 ca (v1 phát hiện 50, bỏ sót 25). XGBoost đánh đổi một phần độ đặc hiệu (nhiều báo động giả hơn: 26 so với 23) để tăng đáng kể độ nhạy — hướng đi được ưu tiên về mặt lâm sàng vì bỏ sót AKI nguy hiểm hơn báo động giả.</w:t>
      </w:r>
    </w:p>
    <w:p>
      <w:pPr/>
      <w:r>
        <w:rPr>
          <w:b w:val="0"/>
          <w:i w:val="0"/>
        </w:rPr>
        <w:t>Kiểm tra quá khớp — hiệu năng Train so với Validation của XGBoost:</w:t>
      </w:r>
    </w:p>
    <w:tbl>
      <w:tblPr>
        <w:tblW w:type="auto" w:w="0"/>
        <w:tblLook w:firstColumn="1" w:firstRow="1" w:lastColumn="0" w:lastRow="0" w:noHBand="0" w:noVBand="1" w:val="04A0"/>
      </w:tblPr>
      <w:tblGrid>
        <w:gridCol w:w="3120"/>
        <w:gridCol w:w="3120"/>
        <w:gridCol w:w="3120"/>
      </w:tblGrid>
      <w:tr>
        <w:tc>
          <w:tcPr>
            <w:tcW w:type="dxa" w:w="3120"/>
          </w:tcPr>
          <w:p>
            <w:r/>
            <w:r>
              <w:rPr>
                <w:b/>
              </w:rPr>
              <w:t>Độ đo</w:t>
            </w:r>
          </w:p>
        </w:tc>
        <w:tc>
          <w:tcPr>
            <w:tcW w:type="dxa" w:w="3120"/>
          </w:tcPr>
          <w:p>
            <w:r/>
            <w:r>
              <w:rPr>
                <w:b/>
              </w:rPr>
              <w:t>Train</w:t>
            </w:r>
          </w:p>
        </w:tc>
        <w:tc>
          <w:tcPr>
            <w:tcW w:type="dxa" w:w="3120"/>
          </w:tcPr>
          <w:p>
            <w:r/>
            <w:r>
              <w:rPr>
                <w:b/>
              </w:rPr>
              <w:t>Validation</w:t>
            </w:r>
          </w:p>
        </w:tc>
      </w:tr>
      <w:tr>
        <w:tc>
          <w:tcPr>
            <w:tcW w:type="dxa" w:w="3120"/>
          </w:tcPr>
          <w:p>
            <w:r/>
            <w:r>
              <w:rPr>
                <w:b/>
              </w:rPr>
              <w:t>AUC</w:t>
            </w:r>
          </w:p>
        </w:tc>
        <w:tc>
          <w:tcPr>
            <w:tcW w:type="dxa" w:w="3120"/>
          </w:tcPr>
          <w:p>
            <w:r/>
            <w:r>
              <w:t>1,000</w:t>
            </w:r>
          </w:p>
        </w:tc>
        <w:tc>
          <w:tcPr>
            <w:tcW w:type="dxa" w:w="3120"/>
          </w:tcPr>
          <w:p>
            <w:r/>
            <w:r>
              <w:t>0,817</w:t>
            </w:r>
          </w:p>
        </w:tc>
      </w:tr>
      <w:tr>
        <w:tc>
          <w:tcPr>
            <w:tcW w:type="dxa" w:w="3120"/>
          </w:tcPr>
          <w:p>
            <w:r/>
            <w:r>
              <w:rPr>
                <w:b/>
              </w:rPr>
              <w:t>Accuracy</w:t>
            </w:r>
          </w:p>
        </w:tc>
        <w:tc>
          <w:tcPr>
            <w:tcW w:type="dxa" w:w="3120"/>
          </w:tcPr>
          <w:p>
            <w:r/>
            <w:r>
              <w:t>1,000</w:t>
            </w:r>
          </w:p>
        </w:tc>
        <w:tc>
          <w:tcPr>
            <w:tcW w:type="dxa" w:w="3120"/>
          </w:tcPr>
          <w:p>
            <w:r/>
            <w:r>
              <w:t>0,758</w:t>
            </w:r>
          </w:p>
        </w:tc>
      </w:tr>
      <w:tr>
        <w:tc>
          <w:tcPr>
            <w:tcW w:type="dxa" w:w="3120"/>
          </w:tcPr>
          <w:p>
            <w:r/>
            <w:r>
              <w:rPr>
                <w:b/>
              </w:rPr>
              <w:t>Sensitivity</w:t>
            </w:r>
          </w:p>
        </w:tc>
        <w:tc>
          <w:tcPr>
            <w:tcW w:type="dxa" w:w="3120"/>
          </w:tcPr>
          <w:p>
            <w:r/>
            <w:r>
              <w:t>1,000</w:t>
            </w:r>
          </w:p>
        </w:tc>
        <w:tc>
          <w:tcPr>
            <w:tcW w:type="dxa" w:w="3120"/>
          </w:tcPr>
          <w:p>
            <w:r/>
            <w:r>
              <w:t>0,720</w:t>
            </w:r>
          </w:p>
        </w:tc>
      </w:tr>
      <w:tr>
        <w:tc>
          <w:tcPr>
            <w:tcW w:type="dxa" w:w="3120"/>
          </w:tcPr>
          <w:p>
            <w:r/>
            <w:r>
              <w:rPr>
                <w:b/>
              </w:rPr>
              <w:t>Specificity</w:t>
            </w:r>
          </w:p>
        </w:tc>
        <w:tc>
          <w:tcPr>
            <w:tcW w:type="dxa" w:w="3120"/>
          </w:tcPr>
          <w:p>
            <w:r/>
            <w:r>
              <w:t>1,000</w:t>
            </w:r>
          </w:p>
        </w:tc>
        <w:tc>
          <w:tcPr>
            <w:tcW w:type="dxa" w:w="3120"/>
          </w:tcPr>
          <w:p>
            <w:r/>
            <w:r>
              <w:t>0,782</w:t>
            </w:r>
          </w:p>
        </w:tc>
      </w:tr>
      <w:tr>
        <w:tc>
          <w:tcPr>
            <w:tcW w:type="dxa" w:w="3120"/>
          </w:tcPr>
          <w:p>
            <w:r/>
            <w:r>
              <w:rPr>
                <w:b/>
              </w:rPr>
              <w:t>F1</w:t>
            </w:r>
          </w:p>
        </w:tc>
        <w:tc>
          <w:tcPr>
            <w:tcW w:type="dxa" w:w="3120"/>
          </w:tcPr>
          <w:p>
            <w:r/>
            <w:r>
              <w:t>1,000</w:t>
            </w:r>
          </w:p>
        </w:tc>
        <w:tc>
          <w:tcPr>
            <w:tcW w:type="dxa" w:w="3120"/>
          </w:tcPr>
          <w:p>
            <w:r/>
            <w:r>
              <w:t>0,697</w:t>
            </w:r>
          </w:p>
        </w:tc>
      </w:tr>
    </w:tbl>
    <w:p/>
    <w:p>
      <w:pPr/>
      <w:r>
        <w:rPr>
          <w:b w:val="0"/>
          <w:i w:val="0"/>
        </w:rPr>
        <w:t>Trên dữ liệu nhỏ này, 400 cây vẫn đủ để học thuộc tập train (AUC train ≈ 1,0), nên khoảng cách train − validation chưa nhỏ hơn so với Random Forest. Tuy nhiên, lợi thế của XGBoost nằm ở phía validation (AUC và độ nhạy cao hơn), nhất quán với việc bài báo gốc xếp XGBoost là mô hình tốt nhất. Việc thu hẹp khoảng cách này là mục tiêu chính của phiên bản tiếp theo (v3).</w:t>
      </w:r>
    </w:p>
    <w:p>
      <w:pPr/>
      <w:r>
        <w:rPr>
          <w:b w:val="0"/>
          <w:i w:val="0"/>
        </w:rPr>
        <w:t>So sánh với các kết quả liên quan:</w:t>
      </w:r>
    </w:p>
    <w:tbl>
      <w:tblPr>
        <w:tblW w:type="auto" w:w="0"/>
        <w:tblLook w:firstColumn="1" w:firstRow="1" w:lastColumn="0" w:lastRow="0" w:noHBand="0" w:noVBand="1" w:val="04A0"/>
      </w:tblPr>
      <w:tblGrid>
        <w:gridCol w:w="3120"/>
        <w:gridCol w:w="3120"/>
        <w:gridCol w:w="3120"/>
      </w:tblGrid>
      <w:tr>
        <w:tc>
          <w:tcPr>
            <w:tcW w:type="dxa" w:w="3120"/>
          </w:tcPr>
          <w:p>
            <w:r/>
            <w:r>
              <w:rPr>
                <w:b/>
              </w:rPr>
              <w:t>Phương pháp</w:t>
            </w:r>
          </w:p>
        </w:tc>
        <w:tc>
          <w:tcPr>
            <w:tcW w:type="dxa" w:w="3120"/>
          </w:tcPr>
          <w:p>
            <w:r/>
            <w:r>
              <w:rPr>
                <w:b/>
              </w:rPr>
              <w:t>AUC (validation)</w:t>
            </w:r>
          </w:p>
        </w:tc>
        <w:tc>
          <w:tcPr>
            <w:tcW w:type="dxa" w:w="3120"/>
          </w:tcPr>
          <w:p>
            <w:r/>
            <w:r>
              <w:rPr>
                <w:b/>
              </w:rPr>
              <w:t>Ghi chú</w:t>
            </w:r>
          </w:p>
        </w:tc>
      </w:tr>
      <w:tr>
        <w:tc>
          <w:tcPr>
            <w:tcW w:type="dxa" w:w="3120"/>
          </w:tcPr>
          <w:p>
            <w:r/>
            <w:r>
              <w:rPr>
                <w:b/>
              </w:rPr>
              <w:t>XGBoost (v2 — đề xuất)</w:t>
            </w:r>
          </w:p>
        </w:tc>
        <w:tc>
          <w:tcPr>
            <w:tcW w:type="dxa" w:w="3120"/>
          </w:tcPr>
          <w:p>
            <w:r/>
            <w:r>
              <w:t>0,817</w:t>
            </w:r>
          </w:p>
        </w:tc>
        <w:tc>
          <w:tcPr>
            <w:tcW w:type="dxa" w:w="3120"/>
          </w:tcPr>
          <w:p>
            <w:r/>
            <w:r>
              <w:t>80/20, min/mean/max, scale_pos_weight</w:t>
            </w:r>
          </w:p>
        </w:tc>
      </w:tr>
      <w:tr>
        <w:tc>
          <w:tcPr>
            <w:tcW w:type="dxa" w:w="3120"/>
          </w:tcPr>
          <w:p>
            <w:r/>
            <w:r>
              <w:rPr>
                <w:b/>
              </w:rPr>
              <w:t>Random Forest (v1 — nền)</w:t>
            </w:r>
          </w:p>
        </w:tc>
        <w:tc>
          <w:tcPr>
            <w:tcW w:type="dxa" w:w="3120"/>
          </w:tcPr>
          <w:p>
            <w:r/>
            <w:r>
              <w:t>0,806</w:t>
            </w:r>
          </w:p>
        </w:tc>
        <w:tc>
          <w:tcPr>
            <w:tcW w:type="dxa" w:w="3120"/>
          </w:tcPr>
          <w:p>
            <w:r/>
            <w:r>
              <w:t>Cùng tập validation</w:t>
            </w:r>
          </w:p>
        </w:tc>
      </w:tr>
      <w:tr>
        <w:tc>
          <w:tcPr>
            <w:tcW w:type="dxa" w:w="3120"/>
          </w:tcPr>
          <w:p>
            <w:r/>
            <w:r>
              <w:rPr>
                <w:b/>
              </w:rPr>
              <w:t>XGBoost — Fan và cộng sự (2023)</w:t>
            </w:r>
          </w:p>
        </w:tc>
        <w:tc>
          <w:tcPr>
            <w:tcW w:type="dxa" w:w="3120"/>
          </w:tcPr>
          <w:p>
            <w:r/>
            <w:r>
              <w:t>0,800</w:t>
            </w:r>
          </w:p>
        </w:tc>
        <w:tc>
          <w:tcPr>
            <w:tcW w:type="dxa" w:w="3120"/>
          </w:tcPr>
          <w:p>
            <w:r/>
            <w:r>
              <w:t>85/15, LASSO-CV 7 biến, giá trị đầu tiên</w:t>
            </w:r>
          </w:p>
        </w:tc>
      </w:tr>
    </w:tbl>
    <w:p/>
    <w:p>
      <w:pPr/>
      <w:r>
        <w:rPr>
          <w:b w:val="0"/>
          <w:i w:val="0"/>
        </w:rPr>
        <w:t>Phân tích độ quan trọng đặc trưng (XGBoost gain) — top 15: saps2, sofa, egfr, oasis, malignant_cancer, race_Hispanic, sbp_min, macroangiopathy, bun_min, age, weight_min, gcs_unable_mean, hb_min, dbp_min, congestive_heart_failure. Các điểm độ nặng (SAPS II, SOFA, OASIS) và eGFR chiếm ưu thế, phù hợp với phân tích tương quan trong giai đoạn EDA. Trong top 5 đặc trưng của bài báo gốc (BUN, lượng nước tiểu, cân nặng, tuổi, PLT), các biến bun_min, weight_min và age đều nằm trong nhóm đầu của mô hình; lượng nước tiểu không có trong tập dữ liệu này, còn PLT xếp hạng thấp hơn do khác biệt về cách tổng hợp đặc trưng.</w:t>
      </w:r>
    </w:p>
    <w:p>
      <w:pPr/>
      <w:r>
        <w:rPr>
          <w:b w:val="0"/>
          <w:i w:val="0"/>
        </w:rPr>
        <w:t>Suy luận trên tập test: 243 bản ghi được tiền xử lý thành ma trận 243 × 77, khớp đúng thứ tự cột huấn luyện và không còn giá trị khuyết. Sau khi gộp theo subjectId (giữ bản ghi đầu tiên), kết quả còn 222 bệnh nhân và được lưu vào output/test_predictions_xgboost.csv gồm các cột định danh, xác suất (akdPositive_proba) và nhãn dự đoán (akdPositive_pred, ngưỡng 0,5). Có 99/222 (44,6%) ca được dự đoán AKI — cao hơn đôi chút so với tỉ lệ huấn luyện (~39%), phù hợp với xu hướng độ nhạy cao của XGBoost.</w:t>
      </w:r>
    </w:p>
    <w:p>
      <w:pPr>
        <w:pStyle w:val="Heading2"/>
      </w:pPr>
      <w:r>
        <w:t>IV.3. Các đóng góp chính của bài báo</w:t>
      </w:r>
    </w:p>
    <w:p>
      <w:pPr>
        <w:ind w:left="360"/>
      </w:pPr>
      <w:r>
        <w:t>•  Cải tiến biểu diễn đặc trưng động bằng tổng hợp min/mean/max, giữ lại tín hiệu cực trị có ý nghĩa lâm sàng — bằng chứng: tương quan của sbp với nhãn thay đổi rõ theo thống kê (min −0,26; mean +0,05; max +0,27).</w:t>
      </w:r>
    </w:p>
    <w:p>
      <w:pPr>
        <w:ind w:left="360"/>
      </w:pPr>
      <w:r>
        <w:t>•  Triển khai XGBoost đạt AUC 0,817 và độ nhạy 0,720 trên tập kiểm thử nội bộ, vượt mô hình nền Random Forest và tương đương bài báo gốc.</w:t>
      </w:r>
    </w:p>
    <w:p>
      <w:pPr>
        <w:ind w:left="360"/>
      </w:pPr>
      <w:r>
        <w:t>•  Thiết lập một quy trình tái lập được và chống rò rỉ dữ liệu (lưu và chỉ transform bộ tiền xử lý), tạo nền tảng so sánh công bằng giữa các mô hình qua các phiên bản v1/v2.</w:t>
      </w:r>
    </w:p>
    <w:p>
      <w:pPr>
        <w:pStyle w:val="Heading1"/>
      </w:pPr>
      <w:r>
        <w:t>V. Kết luận (Conclusions and Perspectives)</w:t>
      </w:r>
    </w:p>
    <w:p>
      <w:pPr/>
      <w:r>
        <w:rPr>
          <w:b w:val="0"/>
          <w:i w:val="0"/>
        </w:rPr>
        <w:t>Báo cáo đã xây dựng và đánh giá mô hình XGBoost cho bài toán dự đoán tổn thương thận cấp ở bệnh nhân nhiễm toan ceton do đái tháo đường trên dữ liệu MIMIC-IV. Với quy trình tiền xử lý tái sử dụng được và chiến lược tổng hợp đặc trưng min/mean/max, mô hình XGBoost đạt AUC = 0,817, độ nhạy = 0,720 và F1 = 0,697 trên tập kiểm thử nội bộ, vượt mô hình nền Random Forest (AUC 0,806) và tương đương kết quả công bố của bài báo gốc (AUC ≈ 0,800). Các đặc trưng quan trọng nhất (điểm độ nặng, eGFR, BUN, tuổi, cân nặng) phù hợp với y văn, củng cố độ tin cậy của mô hình.</w:t>
      </w:r>
    </w:p>
    <w:p>
      <w:pPr/>
      <w:r>
        <w:rPr>
          <w:b w:val="0"/>
          <w:i w:val="0"/>
        </w:rPr>
        <w:t>Hạn chế hiện tại gồm: mô hình vẫn còn quá khớp (AUC train ≈ 1,0); siêu tham số được chọn thủ công, chưa tinh chỉnh bằng kiểm định chéo; chỉ đánh giá trên một lần chia validation; và chưa lựa chọn đặc trưng bằng LASSO như bài báo gốc. Các định hướng nghiên cứu tương lai (phiên bản v3) gồm: (1) tinh chỉnh siêu tham số bằng GridSearchCV/RandomizedSearchCV với kiểm định chéo 10-fold; (2) áp dụng early stopping theo AUC để tự chọn số cây và giảm quá khớp; (3) tinh chỉnh ngưỡng quyết định (ví dụ chỉ số Youden J) nhằm nâng độ nhạy; (4) lựa chọn đặc trưng bằng LASSO-CV để giảm số chiều; và (5) xem xét lại quy tắc khử trùng lặp bệnh nhân (chọn lần nằm có nguy cơ cao nhất thay vì lần đầu tiên).</w:t>
      </w:r>
    </w:p>
    <w:p>
      <w:pPr>
        <w:pStyle w:val="Heading1"/>
      </w:pPr>
      <w:r>
        <w:t>Tài liệu tham khảo (References)</w:t>
      </w:r>
    </w:p>
    <w:p>
      <w:pPr/>
      <w:r>
        <w:rPr>
          <w:b w:val="0"/>
          <w:i/>
        </w:rPr>
        <w:t>(Liệt kê các tài liệu cốt lõi của dự án. Theo yêu cầu của mẫu báo cáo, danh mục cần được mở rộng tối thiểu 30 tài liệu là các bài báo đăng trên tạp chí thuộc danh mục ISI; đánh số thủ công bằng Text.)</w:t>
      </w:r>
    </w:p>
    <w:p>
      <w:pPr/>
      <w:r>
        <w:t>[1] Fan, Z., et al. (2023). Development and validation of a machine learning model to predict acute kidney injury in patients with diabetic ketoacidosis. Frontiers in Public Health, 11, 1087297. https://doi.org/10.3389/fpubh.2023.1087297</w:t>
      </w:r>
    </w:p>
    <w:p>
      <w:pPr/>
      <w:r>
        <w:t>[2] Chen, T., &amp; Guestrin, C. (2016). XGBoost: A Scalable Tree Boosting System. Proceedings of the 22nd ACM SIGKDD International Conference on Knowledge Discovery and Data Mining, 785–794.</w:t>
      </w:r>
    </w:p>
    <w:p>
      <w:pPr/>
      <w:r>
        <w:t>[3] Breiman, L. (2001). Random Forests. Machine Learning, 45(1), 5–32.</w:t>
      </w:r>
    </w:p>
    <w:p>
      <w:pPr/>
      <w:r>
        <w:t>[4] Tibshirani, R. (1996). Regression Shrinkage and Selection via the Lasso. Journal of the Royal Statistical Society: Series B, 58(1), 267–288.</w:t>
      </w:r>
    </w:p>
    <w:p>
      <w:pPr/>
      <w:r>
        <w:t>[5] Johnson, A. E. W., et al. (2023). MIMIC-IV, a freely accessible electronic health record dataset. Scientific Data, 10, 1.</w:t>
      </w:r>
    </w:p>
    <w:p>
      <w:pPr/>
      <w:r>
        <w:t>[6] Pedregosa, F., et al. (2011). Scikit-learn: Machine Learning in Python. Journal of Machine Learning Research, 12, 2825–2830.</w:t>
      </w:r>
    </w:p>
    <w:p>
      <w:pPr/>
      <w:r>
        <w:t>[7] Kidney Disease: Improving Global Outcomes (KDIGO) Acute Kidney Injury Work Group. (2012). KDIGO Clinical Practice Guideline for Acute Kidney Injury. Kidney International Supplements, 2(1), 1–138.</w:t>
      </w:r>
    </w:p>
    <w:p>
      <w:pPr/>
      <w:r>
        <w:t>[8] Chawla, N. V., et al. (2002). SMOTE: Synthetic Minority Over-sampling Technique. Journal of Artificial Intelligence Research, 16, 321–357.</w:t>
      </w:r>
    </w:p>
    <w:sectPr w:rsidR="003533C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 PL SungtiL GB">
    <w:panose1 w:val="00000000000000000000"/>
    <w:charset w:val="00"/>
    <w:family w:val="roman"/>
    <w:notTrueType/>
    <w:pitch w:val="default"/>
  </w:font>
  <w:font w:name="Lohit Devanagari">
    <w:altName w:val="Cambria"/>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F1EE4"/>
    <w:multiLevelType w:val="hybridMultilevel"/>
    <w:tmpl w:val="8B829A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25253D"/>
    <w:multiLevelType w:val="hybridMultilevel"/>
    <w:tmpl w:val="843A41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3F136C4"/>
    <w:multiLevelType w:val="hybridMultilevel"/>
    <w:tmpl w:val="73866E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5F50A8E"/>
    <w:multiLevelType w:val="hybridMultilevel"/>
    <w:tmpl w:val="30D015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0CD1B01"/>
    <w:multiLevelType w:val="hybridMultilevel"/>
    <w:tmpl w:val="484842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D0F6655"/>
    <w:multiLevelType w:val="hybridMultilevel"/>
    <w:tmpl w:val="4B821F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337572F"/>
    <w:multiLevelType w:val="hybridMultilevel"/>
    <w:tmpl w:val="FCE222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89E208D"/>
    <w:multiLevelType w:val="hybridMultilevel"/>
    <w:tmpl w:val="F2AE81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9C13194"/>
    <w:multiLevelType w:val="hybridMultilevel"/>
    <w:tmpl w:val="7C7631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9E40251"/>
    <w:multiLevelType w:val="hybridMultilevel"/>
    <w:tmpl w:val="2B98DC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06432A5"/>
    <w:multiLevelType w:val="multilevel"/>
    <w:tmpl w:val="3050BA8A"/>
    <w:lvl w:ilvl="0">
      <w:start w:val="1"/>
      <w:numFmt w:val="none"/>
      <w:pStyle w:val="Heading1"/>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11" w15:restartNumberingAfterBreak="0">
    <w:nsid w:val="69CA393D"/>
    <w:multiLevelType w:val="hybridMultilevel"/>
    <w:tmpl w:val="64406F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00026736">
    <w:abstractNumId w:val="10"/>
  </w:num>
  <w:num w:numId="2" w16cid:durableId="851838015">
    <w:abstractNumId w:val="2"/>
  </w:num>
  <w:num w:numId="3" w16cid:durableId="493761634">
    <w:abstractNumId w:val="7"/>
  </w:num>
  <w:num w:numId="4" w16cid:durableId="213198661">
    <w:abstractNumId w:val="5"/>
  </w:num>
  <w:num w:numId="5" w16cid:durableId="1727337361">
    <w:abstractNumId w:val="9"/>
  </w:num>
  <w:num w:numId="6" w16cid:durableId="671644782">
    <w:abstractNumId w:val="11"/>
  </w:num>
  <w:num w:numId="7" w16cid:durableId="1638099453">
    <w:abstractNumId w:val="8"/>
  </w:num>
  <w:num w:numId="8" w16cid:durableId="916935221">
    <w:abstractNumId w:val="0"/>
  </w:num>
  <w:num w:numId="9" w16cid:durableId="1498577147">
    <w:abstractNumId w:val="3"/>
  </w:num>
  <w:num w:numId="10" w16cid:durableId="325786529">
    <w:abstractNumId w:val="4"/>
  </w:num>
  <w:num w:numId="11" w16cid:durableId="1249391343">
    <w:abstractNumId w:val="6"/>
  </w:num>
  <w:num w:numId="12" w16cid:durableId="24511360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6D03"/>
    <w:rsid w:val="00011094"/>
    <w:rsid w:val="000C0088"/>
    <w:rsid w:val="00122C24"/>
    <w:rsid w:val="00305D30"/>
    <w:rsid w:val="003417C0"/>
    <w:rsid w:val="00350A37"/>
    <w:rsid w:val="003533C4"/>
    <w:rsid w:val="003716A4"/>
    <w:rsid w:val="003818A5"/>
    <w:rsid w:val="004579FF"/>
    <w:rsid w:val="0046662D"/>
    <w:rsid w:val="00596D03"/>
    <w:rsid w:val="005B5424"/>
    <w:rsid w:val="005D1745"/>
    <w:rsid w:val="00663E78"/>
    <w:rsid w:val="006732DB"/>
    <w:rsid w:val="006B0FF7"/>
    <w:rsid w:val="007E4CF5"/>
    <w:rsid w:val="0081111C"/>
    <w:rsid w:val="00852B6B"/>
    <w:rsid w:val="00887C51"/>
    <w:rsid w:val="00895102"/>
    <w:rsid w:val="009E469D"/>
    <w:rsid w:val="00A27AF9"/>
    <w:rsid w:val="00A90780"/>
    <w:rsid w:val="00C43D2C"/>
    <w:rsid w:val="00C918C2"/>
    <w:rsid w:val="00CE2BB2"/>
    <w:rsid w:val="00CF4FE4"/>
    <w:rsid w:val="00E515AA"/>
    <w:rsid w:val="00EC23E5"/>
    <w:rsid w:val="00F3642C"/>
    <w:rsid w:val="00F54DBE"/>
    <w:rsid w:val="00FE03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F22A43"/>
  <w15:chartTrackingRefBased/>
  <w15:docId w15:val="{484828AA-7707-44BF-BF90-FEFAF3A489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0780"/>
    <w:rPr>
      <w:rFonts w:ascii="Times New Roman" w:hAnsi="Times New Roman"/>
      <w:noProof/>
      <w:kern w:val="0"/>
      <w:sz w:val="24"/>
      <w14:ligatures w14:val="none"/>
    </w:rPr>
  </w:style>
  <w:style w:type="paragraph" w:styleId="Heading1">
    <w:name w:val="heading 1"/>
    <w:basedOn w:val="Normal"/>
    <w:link w:val="Heading1Char"/>
    <w:uiPriority w:val="9"/>
    <w:qFormat/>
    <w:rsid w:val="00C918C2"/>
    <w:pPr>
      <w:keepNext/>
      <w:numPr>
        <w:numId w:val="1"/>
      </w:numPr>
      <w:spacing w:before="240" w:after="120" w:line="240" w:lineRule="auto"/>
      <w:outlineLvl w:val="0"/>
    </w:pPr>
    <w:rPr>
      <w:rFonts w:eastAsia="AR PL SungtiL GB" w:cs="Lohit Devanagari"/>
      <w:b/>
      <w:bCs/>
      <w:kern w:val="2"/>
      <w:sz w:val="36"/>
      <w:szCs w:val="36"/>
      <w:lang w:eastAsia="zh-CN" w:bidi="hi-IN"/>
    </w:rPr>
  </w:style>
  <w:style w:type="paragraph" w:styleId="Heading2">
    <w:name w:val="heading 2"/>
    <w:basedOn w:val="Normal"/>
    <w:next w:val="Normal"/>
    <w:link w:val="Heading2Char"/>
    <w:uiPriority w:val="9"/>
    <w:unhideWhenUsed/>
    <w:qFormat/>
    <w:rsid w:val="00C918C2"/>
    <w:pPr>
      <w:keepNext/>
      <w:keepLines/>
      <w:spacing w:before="40" w:after="0"/>
      <w:outlineLvl w:val="1"/>
    </w:pPr>
    <w:rPr>
      <w:rFonts w:eastAsiaTheme="majorEastAsia" w:cstheme="majorBidi"/>
      <w:color w:val="0F4761" w:themeColor="accent1" w:themeShade="BF"/>
      <w:sz w:val="28"/>
      <w:szCs w:val="26"/>
    </w:rPr>
  </w:style>
  <w:style w:type="paragraph" w:styleId="Heading3">
    <w:name w:val="heading 3"/>
    <w:basedOn w:val="Normal"/>
    <w:next w:val="Normal"/>
    <w:link w:val="Heading3Char"/>
    <w:uiPriority w:val="9"/>
    <w:unhideWhenUsed/>
    <w:qFormat/>
    <w:rsid w:val="00EC23E5"/>
    <w:pPr>
      <w:keepNext/>
      <w:keepLines/>
      <w:spacing w:before="40" w:after="0"/>
      <w:outlineLvl w:val="2"/>
    </w:pPr>
    <w:rPr>
      <w:rFonts w:eastAsiaTheme="majorEastAsia" w:cstheme="majorBidi"/>
      <w:color w:val="0A2F40" w:themeColor="accent1" w:themeShade="7F"/>
      <w:szCs w:val="24"/>
    </w:rPr>
  </w:style>
  <w:style w:type="paragraph" w:styleId="Heading4">
    <w:name w:val="heading 4"/>
    <w:basedOn w:val="Normal"/>
    <w:next w:val="Normal"/>
    <w:link w:val="Heading4Char"/>
    <w:uiPriority w:val="9"/>
    <w:semiHidden/>
    <w:unhideWhenUsed/>
    <w:qFormat/>
    <w:rsid w:val="00596D0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596D0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596D03"/>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596D03"/>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596D03"/>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596D03"/>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918C2"/>
    <w:rPr>
      <w:rFonts w:ascii="Times New Roman" w:eastAsiaTheme="majorEastAsia" w:hAnsi="Times New Roman" w:cstheme="majorBidi"/>
      <w:color w:val="0F4761" w:themeColor="accent1" w:themeShade="BF"/>
      <w:sz w:val="28"/>
      <w:szCs w:val="26"/>
    </w:rPr>
  </w:style>
  <w:style w:type="character" w:customStyle="1" w:styleId="Heading1Char">
    <w:name w:val="Heading 1 Char"/>
    <w:basedOn w:val="DefaultParagraphFont"/>
    <w:link w:val="Heading1"/>
    <w:uiPriority w:val="9"/>
    <w:rsid w:val="00C918C2"/>
    <w:rPr>
      <w:rFonts w:ascii="Times New Roman" w:eastAsia="AR PL SungtiL GB" w:hAnsi="Times New Roman" w:cs="Lohit Devanagari"/>
      <w:b/>
      <w:bCs/>
      <w:kern w:val="2"/>
      <w:sz w:val="36"/>
      <w:szCs w:val="36"/>
      <w:lang w:eastAsia="zh-CN" w:bidi="hi-IN"/>
    </w:rPr>
  </w:style>
  <w:style w:type="character" w:customStyle="1" w:styleId="Heading3Char">
    <w:name w:val="Heading 3 Char"/>
    <w:basedOn w:val="DefaultParagraphFont"/>
    <w:link w:val="Heading3"/>
    <w:uiPriority w:val="9"/>
    <w:rsid w:val="00EC23E5"/>
    <w:rPr>
      <w:rFonts w:ascii="Times New Roman" w:eastAsiaTheme="majorEastAsia" w:hAnsi="Times New Roman" w:cstheme="majorBidi"/>
      <w:color w:val="0A2F40" w:themeColor="accent1" w:themeShade="7F"/>
      <w:sz w:val="24"/>
      <w:szCs w:val="24"/>
    </w:rPr>
  </w:style>
  <w:style w:type="character" w:customStyle="1" w:styleId="Heading4Char">
    <w:name w:val="Heading 4 Char"/>
    <w:basedOn w:val="DefaultParagraphFont"/>
    <w:link w:val="Heading4"/>
    <w:uiPriority w:val="9"/>
    <w:semiHidden/>
    <w:rsid w:val="00596D03"/>
    <w:rPr>
      <w:rFonts w:eastAsiaTheme="majorEastAsia" w:cstheme="majorBidi"/>
      <w:i/>
      <w:iCs/>
      <w:color w:val="0F4761" w:themeColor="accent1" w:themeShade="BF"/>
      <w:kern w:val="0"/>
      <w:sz w:val="24"/>
      <w14:ligatures w14:val="none"/>
    </w:rPr>
  </w:style>
  <w:style w:type="character" w:customStyle="1" w:styleId="Heading5Char">
    <w:name w:val="Heading 5 Char"/>
    <w:basedOn w:val="DefaultParagraphFont"/>
    <w:link w:val="Heading5"/>
    <w:uiPriority w:val="9"/>
    <w:semiHidden/>
    <w:rsid w:val="00596D03"/>
    <w:rPr>
      <w:rFonts w:eastAsiaTheme="majorEastAsia" w:cstheme="majorBidi"/>
      <w:color w:val="0F4761" w:themeColor="accent1" w:themeShade="BF"/>
      <w:kern w:val="0"/>
      <w:sz w:val="24"/>
      <w14:ligatures w14:val="none"/>
    </w:rPr>
  </w:style>
  <w:style w:type="character" w:customStyle="1" w:styleId="Heading6Char">
    <w:name w:val="Heading 6 Char"/>
    <w:basedOn w:val="DefaultParagraphFont"/>
    <w:link w:val="Heading6"/>
    <w:uiPriority w:val="9"/>
    <w:semiHidden/>
    <w:rsid w:val="00596D03"/>
    <w:rPr>
      <w:rFonts w:eastAsiaTheme="majorEastAsia" w:cstheme="majorBidi"/>
      <w:i/>
      <w:iCs/>
      <w:color w:val="595959" w:themeColor="text1" w:themeTint="A6"/>
      <w:kern w:val="0"/>
      <w:sz w:val="24"/>
      <w14:ligatures w14:val="none"/>
    </w:rPr>
  </w:style>
  <w:style w:type="character" w:customStyle="1" w:styleId="Heading7Char">
    <w:name w:val="Heading 7 Char"/>
    <w:basedOn w:val="DefaultParagraphFont"/>
    <w:link w:val="Heading7"/>
    <w:uiPriority w:val="9"/>
    <w:semiHidden/>
    <w:rsid w:val="00596D03"/>
    <w:rPr>
      <w:rFonts w:eastAsiaTheme="majorEastAsia" w:cstheme="majorBidi"/>
      <w:color w:val="595959" w:themeColor="text1" w:themeTint="A6"/>
      <w:kern w:val="0"/>
      <w:sz w:val="24"/>
      <w14:ligatures w14:val="none"/>
    </w:rPr>
  </w:style>
  <w:style w:type="character" w:customStyle="1" w:styleId="Heading8Char">
    <w:name w:val="Heading 8 Char"/>
    <w:basedOn w:val="DefaultParagraphFont"/>
    <w:link w:val="Heading8"/>
    <w:uiPriority w:val="9"/>
    <w:semiHidden/>
    <w:rsid w:val="00596D03"/>
    <w:rPr>
      <w:rFonts w:eastAsiaTheme="majorEastAsia" w:cstheme="majorBidi"/>
      <w:i/>
      <w:iCs/>
      <w:color w:val="272727" w:themeColor="text1" w:themeTint="D8"/>
      <w:kern w:val="0"/>
      <w:sz w:val="24"/>
      <w14:ligatures w14:val="none"/>
    </w:rPr>
  </w:style>
  <w:style w:type="character" w:customStyle="1" w:styleId="Heading9Char">
    <w:name w:val="Heading 9 Char"/>
    <w:basedOn w:val="DefaultParagraphFont"/>
    <w:link w:val="Heading9"/>
    <w:uiPriority w:val="9"/>
    <w:semiHidden/>
    <w:rsid w:val="00596D03"/>
    <w:rPr>
      <w:rFonts w:eastAsiaTheme="majorEastAsia" w:cstheme="majorBidi"/>
      <w:color w:val="272727" w:themeColor="text1" w:themeTint="D8"/>
      <w:kern w:val="0"/>
      <w:sz w:val="24"/>
      <w14:ligatures w14:val="none"/>
    </w:rPr>
  </w:style>
  <w:style w:type="paragraph" w:styleId="Title">
    <w:name w:val="Title"/>
    <w:basedOn w:val="Normal"/>
    <w:next w:val="Normal"/>
    <w:link w:val="TitleChar"/>
    <w:uiPriority w:val="10"/>
    <w:qFormat/>
    <w:rsid w:val="00596D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6D03"/>
    <w:rPr>
      <w:rFonts w:asciiTheme="majorHAnsi" w:eastAsiaTheme="majorEastAsia" w:hAnsiTheme="majorHAnsi" w:cstheme="majorBidi"/>
      <w:spacing w:val="-10"/>
      <w:kern w:val="28"/>
      <w:sz w:val="56"/>
      <w:szCs w:val="56"/>
      <w14:ligatures w14:val="none"/>
    </w:rPr>
  </w:style>
  <w:style w:type="paragraph" w:styleId="Subtitle">
    <w:name w:val="Subtitle"/>
    <w:basedOn w:val="Normal"/>
    <w:next w:val="Normal"/>
    <w:link w:val="SubtitleChar"/>
    <w:uiPriority w:val="11"/>
    <w:qFormat/>
    <w:rsid w:val="00596D03"/>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6D03"/>
    <w:rPr>
      <w:rFonts w:eastAsiaTheme="majorEastAsia" w:cstheme="majorBidi"/>
      <w:color w:val="595959" w:themeColor="text1" w:themeTint="A6"/>
      <w:spacing w:val="15"/>
      <w:kern w:val="0"/>
      <w:sz w:val="28"/>
      <w:szCs w:val="28"/>
      <w14:ligatures w14:val="none"/>
    </w:rPr>
  </w:style>
  <w:style w:type="paragraph" w:styleId="Quote">
    <w:name w:val="Quote"/>
    <w:basedOn w:val="Normal"/>
    <w:next w:val="Normal"/>
    <w:link w:val="QuoteChar"/>
    <w:uiPriority w:val="29"/>
    <w:qFormat/>
    <w:rsid w:val="00596D03"/>
    <w:pPr>
      <w:spacing w:before="160"/>
      <w:jc w:val="center"/>
    </w:pPr>
    <w:rPr>
      <w:i/>
      <w:iCs/>
      <w:color w:val="404040" w:themeColor="text1" w:themeTint="BF"/>
    </w:rPr>
  </w:style>
  <w:style w:type="character" w:customStyle="1" w:styleId="QuoteChar">
    <w:name w:val="Quote Char"/>
    <w:basedOn w:val="DefaultParagraphFont"/>
    <w:link w:val="Quote"/>
    <w:uiPriority w:val="29"/>
    <w:rsid w:val="00596D03"/>
    <w:rPr>
      <w:rFonts w:ascii="Times New Roman" w:hAnsi="Times New Roman"/>
      <w:i/>
      <w:iCs/>
      <w:color w:val="404040" w:themeColor="text1" w:themeTint="BF"/>
      <w:kern w:val="0"/>
      <w:sz w:val="24"/>
      <w14:ligatures w14:val="none"/>
    </w:rPr>
  </w:style>
  <w:style w:type="paragraph" w:styleId="ListParagraph">
    <w:name w:val="List Paragraph"/>
    <w:basedOn w:val="Normal"/>
    <w:uiPriority w:val="34"/>
    <w:qFormat/>
    <w:rsid w:val="00596D03"/>
    <w:pPr>
      <w:ind w:left="720"/>
      <w:contextualSpacing/>
    </w:pPr>
  </w:style>
  <w:style w:type="character" w:styleId="IntenseEmphasis">
    <w:name w:val="Intense Emphasis"/>
    <w:basedOn w:val="DefaultParagraphFont"/>
    <w:uiPriority w:val="21"/>
    <w:qFormat/>
    <w:rsid w:val="00596D03"/>
    <w:rPr>
      <w:i/>
      <w:iCs/>
      <w:color w:val="0F4761" w:themeColor="accent1" w:themeShade="BF"/>
    </w:rPr>
  </w:style>
  <w:style w:type="paragraph" w:styleId="IntenseQuote">
    <w:name w:val="Intense Quote"/>
    <w:basedOn w:val="Normal"/>
    <w:next w:val="Normal"/>
    <w:link w:val="IntenseQuoteChar"/>
    <w:uiPriority w:val="30"/>
    <w:qFormat/>
    <w:rsid w:val="00596D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96D03"/>
    <w:rPr>
      <w:rFonts w:ascii="Times New Roman" w:hAnsi="Times New Roman"/>
      <w:i/>
      <w:iCs/>
      <w:color w:val="0F4761" w:themeColor="accent1" w:themeShade="BF"/>
      <w:kern w:val="0"/>
      <w:sz w:val="24"/>
      <w14:ligatures w14:val="none"/>
    </w:rPr>
  </w:style>
  <w:style w:type="character" w:styleId="IntenseReference">
    <w:name w:val="Intense Reference"/>
    <w:basedOn w:val="DefaultParagraphFont"/>
    <w:uiPriority w:val="32"/>
    <w:qFormat/>
    <w:rsid w:val="00596D03"/>
    <w:rPr>
      <w:b/>
      <w:bCs/>
      <w:smallCaps/>
      <w:color w:val="0F4761" w:themeColor="accent1" w:themeShade="BF"/>
      <w:spacing w:val="5"/>
    </w:rPr>
  </w:style>
  <w:style w:type="character" w:styleId="Hyperlink">
    <w:name w:val="Hyperlink"/>
    <w:basedOn w:val="DefaultParagraphFont"/>
    <w:uiPriority w:val="99"/>
    <w:unhideWhenUsed/>
    <w:rsid w:val="00122C24"/>
    <w:rPr>
      <w:color w:val="467886" w:themeColor="hyperlink"/>
      <w:u w:val="single"/>
    </w:rPr>
  </w:style>
  <w:style w:type="character" w:styleId="UnresolvedMention">
    <w:name w:val="Unresolved Mention"/>
    <w:basedOn w:val="DefaultParagraphFont"/>
    <w:uiPriority w:val="99"/>
    <w:semiHidden/>
    <w:unhideWhenUsed/>
    <w:rsid w:val="00122C2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ciencedirect.com/science/article/pii/S174680942100269X" TargetMode="External"/><Relationship Id="rId13"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scholar.google.com/" TargetMode="External"/><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app.diagrams.net/" TargetMode="Externa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294E7C1DFD34E4E83FE107A3AE3BADC" ma:contentTypeVersion="3" ma:contentTypeDescription="Create a new document." ma:contentTypeScope="" ma:versionID="9c46667d16af45eda8f81207372a6c37">
  <xsd:schema xmlns:xsd="http://www.w3.org/2001/XMLSchema" xmlns:xs="http://www.w3.org/2001/XMLSchema" xmlns:p="http://schemas.microsoft.com/office/2006/metadata/properties" xmlns:ns2="57cfb831-b946-4292-83dc-ffa16ade9417" targetNamespace="http://schemas.microsoft.com/office/2006/metadata/properties" ma:root="true" ma:fieldsID="d39463f30f1c6c923d05e18abb7f6b25" ns2:_="">
    <xsd:import namespace="57cfb831-b946-4292-83dc-ffa16ade9417"/>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7cfb831-b946-4292-83dc-ffa16ade941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45AAD60-3545-4D7E-944B-1A863F53B4F4}"/>
</file>

<file path=customXml/itemProps2.xml><?xml version="1.0" encoding="utf-8"?>
<ds:datastoreItem xmlns:ds="http://schemas.openxmlformats.org/officeDocument/2006/customXml" ds:itemID="{11A71CD6-B83B-48FB-A25A-3C9C5B6C7EE8}"/>
</file>

<file path=customXml/itemProps3.xml><?xml version="1.0" encoding="utf-8"?>
<ds:datastoreItem xmlns:ds="http://schemas.openxmlformats.org/officeDocument/2006/customXml" ds:itemID="{EF13B533-D1AB-4AD4-83AE-4969133ABDB9}"/>
</file>

<file path=docProps/app.xml><?xml version="1.0" encoding="utf-8"?>
<Properties xmlns="http://schemas.openxmlformats.org/officeDocument/2006/extended-properties" xmlns:vt="http://schemas.openxmlformats.org/officeDocument/2006/docPropsVTypes">
  <Template>Normal.dotm</Template>
  <TotalTime>65</TotalTime>
  <Pages>4</Pages>
  <Words>664</Words>
  <Characters>3790</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Hong Quang</dc:creator>
  <cp:keywords/>
  <dc:description/>
  <cp:lastModifiedBy>Nguyễn Hồng Quang</cp:lastModifiedBy>
  <cp:revision>21</cp:revision>
  <dcterms:created xsi:type="dcterms:W3CDTF">2024-06-08T01:52:00Z</dcterms:created>
  <dcterms:modified xsi:type="dcterms:W3CDTF">2026-05-23T00:12:00Z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0x010100D294E7C1DFD34E4E83FE107A3AE3BADC</vt:lpwstr>
  </property>
</Properties>
</file>