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20"/>
        <w:jc w:val="center"/>
      </w:pPr>
      <w:r>
        <w:rPr>
          <w:rFonts w:ascii="맑은 고딕" w:hAnsi="맑은 고딕" w:eastAsia="맑은 고딕"/>
          <w:b w:val="0"/>
          <w:sz w:val="24"/>
        </w:rPr>
        <w:t>- AI와 함께하는 교통문제 해결을 위한 데이터 분석 공모전 -</w:t>
      </w:r>
    </w:p>
    <w:p>
      <w:pPr>
        <w:spacing w:before="120" w:after="480"/>
        <w:jc w:val="center"/>
      </w:pPr>
      <w:r>
        <w:rPr>
          <w:rFonts w:ascii="맑은 고딕" w:hAnsi="맑은 고딕" w:eastAsia="맑은 고딕"/>
          <w:b/>
          <w:sz w:val="44"/>
        </w:rPr>
        <w:t>분석보고서</w:t>
      </w:r>
    </w:p>
    <w:p>
      <w:pPr>
        <w:spacing w:before="0" w:after="20"/>
        <w:jc w:val="center"/>
      </w:pPr>
      <w:r>
        <w:rPr>
          <w:rFonts w:ascii="맑은 고딕" w:hAnsi="맑은 고딕" w:eastAsia="맑은 고딕"/>
          <w:b/>
          <w:sz w:val="36"/>
        </w:rPr>
        <w:t>같은 동네, 다른 시간</w:t>
      </w:r>
    </w:p>
    <w:p>
      <w:pPr>
        <w:spacing w:before="0" w:after="800"/>
        <w:jc w:val="center"/>
      </w:pPr>
      <w:r>
        <w:rPr>
          <w:rFonts w:ascii="맑은 고딕" w:hAnsi="맑은 고딕" w:eastAsia="맑은 고딕"/>
          <w:b w:val="0"/>
          <w:sz w:val="28"/>
        </w:rPr>
        <w:t>지도에 없는 '시간 사각지대'가 만드는 차량 이동과 탄소</w:t>
      </w:r>
    </w:p>
    <w:p>
      <w:pPr>
        <w:spacing w:before="0" w:after="20"/>
        <w:jc w:val="center"/>
      </w:pPr>
      <w:r>
        <w:rPr>
          <w:rFonts w:ascii="맑은 고딕" w:hAnsi="맑은 고딕" w:eastAsia="맑은 고딕"/>
          <w:b w:val="0"/>
          <w:sz w:val="26"/>
        </w:rPr>
        <w:t>여태림</w:t>
      </w:r>
    </w:p>
    <w:p>
      <w:pPr>
        <w:spacing w:before="0" w:after="600"/>
        <w:jc w:val="center"/>
      </w:pPr>
      <w:r>
        <w:rPr>
          <w:rFonts w:ascii="맑은 고딕" w:hAnsi="맑은 고딕" w:eastAsia="맑은 고딕"/>
          <w:b w:val="0"/>
          <w:sz w:val="22"/>
        </w:rPr>
        <w:t>2026년 10월</w:t>
      </w:r>
    </w:p>
    <w:p>
      <w:pPr>
        <w:spacing w:before="0" w:after="20"/>
        <w:jc w:val="center"/>
      </w:pPr>
      <w:r>
        <w:rPr>
          <w:rFonts w:ascii="맑은 고딕" w:hAnsi="맑은 고딕" w:eastAsia="맑은 고딕"/>
          <w:b w:val="0"/>
          <w:color w:val="444444"/>
          <w:sz w:val="20"/>
        </w:rPr>
        <w:t>분석 코드: https://github.com/TaeRimYeo/timegap-seoul</w:t>
      </w:r>
    </w:p>
    <w:p>
      <w:r>
        <w:br w:type="page"/>
      </w:r>
    </w:p>
    <w:tbl>
      <w:tblPr>
        <w:tblW w:type="auto" w:w="0"/>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4819"/>
        <w:gridCol w:w="4819"/>
      </w:tblGrid>
      <w:tr>
        <w:tc>
          <w:tcPr>
            <w:tcW w:type="dxa" w:w="1361"/>
            <w:shd w:val="clear" w:color="auto" w:fill="F2F2F2"/>
            <w:vAlign w:val="center"/>
          </w:tcPr>
          <w:p>
            <w:pPr>
              <w:jc w:val="center"/>
            </w:pPr>
            <w:r/>
            <w:r>
              <w:rPr>
                <w:rFonts w:ascii="맑은 고딕" w:hAnsi="맑은 고딕" w:eastAsia="맑은 고딕"/>
                <w:b w:val="0"/>
                <w:sz w:val="20"/>
              </w:rPr>
              <w:t>이름/팀명</w:t>
            </w:r>
          </w:p>
        </w:tc>
        <w:tc>
          <w:tcPr>
            <w:tcW w:type="dxa" w:w="8277"/>
          </w:tcPr>
          <w:p>
            <w:pPr>
              <w:spacing w:after="20"/>
            </w:pPr>
            <w:r/>
            <w:r>
              <w:rPr>
                <w:rFonts w:ascii="맑은 고딕" w:hAnsi="맑은 고딕" w:eastAsia="맑은 고딕"/>
                <w:b w:val="0"/>
                <w:sz w:val="20"/>
              </w:rPr>
              <w:t>여태림</w:t>
            </w:r>
          </w:p>
        </w:tc>
      </w:tr>
      <w:tr>
        <w:tc>
          <w:tcPr>
            <w:tcW w:type="dxa" w:w="1361"/>
            <w:shd w:val="clear" w:color="auto" w:fill="F2F2F2"/>
            <w:vAlign w:val="center"/>
          </w:tcPr>
          <w:p>
            <w:pPr>
              <w:jc w:val="center"/>
            </w:pPr>
            <w:r/>
            <w:r>
              <w:rPr>
                <w:rFonts w:ascii="맑은 고딕" w:hAnsi="맑은 고딕" w:eastAsia="맑은 고딕"/>
                <w:b w:val="0"/>
                <w:sz w:val="20"/>
              </w:rPr>
              <w:t>주제</w:t>
            </w:r>
          </w:p>
        </w:tc>
        <w:tc>
          <w:tcPr>
            <w:tcW w:type="dxa" w:w="8277"/>
          </w:tcPr>
          <w:p>
            <w:pPr>
              <w:spacing w:after="20"/>
            </w:pPr>
            <w:r/>
            <w:r>
              <w:rPr>
                <w:rFonts w:ascii="맑은 고딕" w:hAnsi="맑은 고딕" w:eastAsia="맑은 고딕"/>
                <w:b/>
                <w:sz w:val="20"/>
              </w:rPr>
              <w:t>같은 동네, 다른 시간: 지도에 없는 '시간 사각지대'가 만드는 차량 이동과 탄소</w:t>
            </w:r>
          </w:p>
          <w:p>
            <w:pPr>
              <w:spacing w:before="0" w:after="20"/>
            </w:pPr>
            <w:r>
              <w:rPr>
                <w:rFonts w:ascii="맑은 고딕" w:hAnsi="맑은 고딕" w:eastAsia="맑은 고딕"/>
                <w:b w:val="0"/>
                <w:color w:val="444444"/>
                <w:sz w:val="18"/>
              </w:rPr>
              <w:t>서울 생활이동(출도착 행정동×수단) 데이터로 본 대중교통 '공간-시간 불일치'와 차량 배출, 그리고 운행 재배분 처방</w:t>
            </w:r>
          </w:p>
        </w:tc>
      </w:tr>
      <w:tr>
        <w:tc>
          <w:tcPr>
            <w:tcW w:type="dxa" w:w="1361"/>
            <w:shd w:val="clear" w:color="auto" w:fill="F2F2F2"/>
            <w:vAlign w:val="center"/>
          </w:tcPr>
          <w:p>
            <w:pPr>
              <w:jc w:val="center"/>
            </w:pPr>
            <w:r/>
            <w:r>
              <w:rPr>
                <w:rFonts w:ascii="맑은 고딕" w:hAnsi="맑은 고딕" w:eastAsia="맑은 고딕"/>
                <w:b w:val="0"/>
                <w:sz w:val="20"/>
              </w:rPr>
              <w:t>분석 배경</w:t>
              <w:br/>
              <w:t>및 목적</w:t>
            </w:r>
          </w:p>
        </w:tc>
        <w:tc>
          <w:tcPr>
            <w:tcW w:type="dxa" w:w="8277"/>
          </w:tcPr>
          <w:p>
            <w:pPr>
              <w:spacing w:after="20"/>
            </w:pPr>
            <w:r/>
            <w:r>
              <w:rPr>
                <w:rFonts w:ascii="맑은 고딕" w:hAnsi="맑은 고딕" w:eastAsia="맑은 고딕"/>
                <w:b/>
                <w:sz w:val="20"/>
              </w:rPr>
              <w:t>핵심 결과 (헤드라인)</w:t>
            </w:r>
          </w:p>
          <w:tbl>
            <w:tblPr>
              <w:tblW w:w="7994" w:type="dxa"/>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737"/>
              <w:gridCol w:w="2737"/>
              <w:gridCol w:w="2518"/>
            </w:tblGrid>
            <w:tr>
              <w:tc>
                <w:tcPr>
                  <w:tcW w:type="dxa" w:w="2738"/>
                  <w:shd w:val="clear" w:color="auto" w:fill="FBE3D2"/>
                </w:tcPr>
                <w:p>
                  <w:pPr>
                    <w:spacing w:after="0"/>
                  </w:pPr>
                  <w:r>
                    <w:rPr>
                      <w:b/>
                    </w:rPr>
                  </w:r>
                  <w:r>
                    <w:rPr>
                      <w:rFonts w:ascii="맑은 고딕" w:hAnsi="맑은 고딕" w:eastAsia="맑은 고딕"/>
                      <w:b w:val="0"/>
                      <w:sz w:val="17"/>
                    </w:rPr>
                    <w:t>① 공간 기준으로는 보이지 않는 사각지대</w:t>
                  </w:r>
                </w:p>
              </w:tc>
              <w:tc>
                <w:tcPr>
                  <w:tcW w:type="dxa" w:w="2738"/>
                  <w:shd w:val="clear" w:color="auto" w:fill="FBE3D2"/>
                </w:tcPr>
                <w:p>
                  <w:pPr>
                    <w:spacing w:after="0"/>
                  </w:pPr>
                  <w:r>
                    <w:rPr>
                      <w:b/>
                    </w:rPr>
                  </w:r>
                  <w:r>
                    <w:rPr>
                      <w:rFonts w:ascii="맑은 고딕" w:hAnsi="맑은 고딕" w:eastAsia="맑은 고딕"/>
                      <w:b w:val="0"/>
                      <w:sz w:val="17"/>
                    </w:rPr>
                    <w:t>② 심야·새벽 시간 사각지대와 연관된 차량 배출</w:t>
                  </w:r>
                </w:p>
              </w:tc>
              <w:tc>
                <w:tcPr>
                  <w:tcW w:type="dxa" w:w="2519"/>
                  <w:shd w:val="clear" w:color="auto" w:fill="FBE3D2"/>
                </w:tcPr>
                <w:p>
                  <w:pPr>
                    <w:spacing w:after="0"/>
                  </w:pPr>
                  <w:r>
                    <w:rPr>
                      <w:b/>
                    </w:rPr>
                  </w:r>
                  <w:r>
                    <w:rPr>
                      <w:rFonts w:ascii="맑은 고딕" w:hAnsi="맑은 고딕" w:eastAsia="맑은 고딕"/>
                      <w:b w:val="0"/>
                      <w:sz w:val="17"/>
                    </w:rPr>
                    <w:t>③ 운행 총량 그대로 낮→새벽 재배분(시뮬레이션)</w:t>
                  </w:r>
                </w:p>
              </w:tc>
            </w:tr>
            <w:tr>
              <w:tc>
                <w:tcPr>
                  <w:tcW w:type="dxa" w:w="2738"/>
                </w:tcPr>
                <w:p>
                  <w:pPr>
                    <w:spacing w:after="0"/>
                  </w:pPr>
                  <w:r/>
                  <w:r>
                    <w:rPr>
                      <w:rFonts w:ascii="맑은 고딕" w:hAnsi="맑은 고딕" w:eastAsia="맑은 고딕"/>
                      <w:b/>
                      <w:sz w:val="17"/>
                    </w:rPr>
                    <w:t>95개 동</w:t>
                  </w:r>
                  <w:r>
                    <w:rPr>
                      <w:rFonts w:ascii="맑은 고딕" w:hAnsi="맑은 고딕" w:eastAsia="맑은 고딕"/>
                      <w:b w:val="0"/>
                      <w:sz w:val="17"/>
                    </w:rPr>
                    <w:br/>
                    <w:t>서울시 800m 기준 '양호' 357개 동 중 26.6%가 특정 시간대엔 공급이 그 시간대 서울 동 하위 20%</w:t>
                  </w:r>
                </w:p>
              </w:tc>
              <w:tc>
                <w:tcPr>
                  <w:tcW w:type="dxa" w:w="2738"/>
                </w:tcPr>
                <w:p>
                  <w:pPr>
                    <w:spacing w:after="0"/>
                  </w:pPr>
                  <w:r/>
                  <w:r>
                    <w:rPr>
                      <w:rFonts w:ascii="맑은 고딕" w:hAnsi="맑은 고딕" w:eastAsia="맑은 고딕"/>
                      <w:b/>
                      <w:sz w:val="17"/>
                    </w:rPr>
                    <w:t>연 6,679 tCO₂ (22–07시)</w:t>
                  </w:r>
                  <w:r>
                    <w:rPr>
                      <w:rFonts w:ascii="맑은 고딕" w:hAnsi="맑은 고딕" w:eastAsia="맑은 고딕"/>
                      <w:b w:val="0"/>
                      <w:sz w:val="17"/>
                    </w:rPr>
                    <w:br/>
                    <w:t>시간대별 계수로 본 연관 추정, 95% 구간 2,120~11,289 t. 낮 시간은 평상시·파업 자료 모두 근거가 약해 제외</w:t>
                  </w:r>
                </w:p>
              </w:tc>
              <w:tc>
                <w:tcPr>
                  <w:tcW w:type="dxa" w:w="2519"/>
                </w:tcPr>
                <w:p>
                  <w:pPr>
                    <w:spacing w:after="0"/>
                  </w:pPr>
                  <w:r/>
                  <w:r>
                    <w:rPr>
                      <w:rFonts w:ascii="맑은 고딕" w:hAnsi="맑은 고딕" w:eastAsia="맑은 고딕"/>
                      <w:b/>
                      <w:sz w:val="17"/>
                    </w:rPr>
                    <w:t>상위 20셀 연 512 tCO₂ 순감축</w:t>
                  </w:r>
                  <w:r>
                    <w:rPr>
                      <w:rFonts w:ascii="맑은 고딕" w:hAnsi="맑은 고딕" w:eastAsia="맑은 고딕"/>
                      <w:b w:val="0"/>
                      <w:sz w:val="17"/>
                    </w:rPr>
                    <w:br/>
                    <w:t>(420~598 t, 1회당 0.53 kg) 운행·버스km 불변, 기증 셀 손실 차감, 첨두 운행 유지. 단순 CNG 증회는 1,312개 셀 전부 순증가(승용차 계수 3배에서도 순감축 6개 이하)</w:t>
                  </w:r>
                </w:p>
              </w:tc>
            </w:tr>
          </w:tbl>
          <w:p>
            <w:pPr>
              <w:spacing w:after="40" w:line="80" w:lineRule="exact"/>
            </w:pPr>
          </w:p>
          <w:p>
            <w:pPr>
              <w:spacing w:before="0" w:after="20"/>
            </w:pPr>
            <w:r>
              <w:rPr>
                <w:rFonts w:ascii="맑은 고딕" w:hAnsi="맑은 고딕" w:eastAsia="맑은 고딕"/>
                <w:b/>
                <w:sz w:val="19"/>
              </w:rPr>
              <w:t>현황.</w:t>
            </w:r>
            <w:r>
              <w:rPr>
                <w:rFonts w:ascii="맑은 고딕" w:hAnsi="맑은 고딕" w:eastAsia="맑은 고딕"/>
                <w:b w:val="0"/>
                <w:sz w:val="19"/>
              </w:rPr>
              <w:t xml:space="preserve"> 서울시는 2026년 8월 21일, 지하철역이나 중앙·가로변 버스전용차로에서 800m 이내인지를 따지는 '빠른 대중교통 접근성(ART)' 지표로 서울 전역 대중교통 사각지대를 전수조사하고, 2030년까지 자율주행버스를 500대 규모로 늘리며 심야·새벽 자율주행버스를 운영하겠다고 발표했다(서울신문, 2026-08-21).</w:t>
            </w:r>
          </w:p>
          <w:p>
            <w:pPr>
              <w:spacing w:before="0" w:after="20"/>
            </w:pPr>
            <w:r>
              <w:rPr>
                <w:rFonts w:ascii="맑은 고딕" w:hAnsi="맑은 고딕" w:eastAsia="맑은 고딕"/>
                <w:b/>
                <w:sz w:val="19"/>
              </w:rPr>
              <w:t>문제.</w:t>
            </w:r>
            <w:r>
              <w:rPr>
                <w:rFonts w:ascii="맑은 고딕" w:hAnsi="맑은 고딕" w:eastAsia="맑은 고딕"/>
                <w:b w:val="0"/>
                <w:sz w:val="19"/>
              </w:rPr>
              <w:t xml:space="preserve"> 800m 기준은 '어디에' 정류장이 있는지만 본다. 같은 동네라도 낮 비첨두·주말·심야처럼 '언제' 버스가 줄어드는지는 지도에 나타나지 않는다. 이 시간 사각지대에서 같은 출발·도착지의 같은 거리 이동이 차로 더 이뤄진다면, 공간 기준 정책은 그 차량 이동과 탄소를 놓친다.</w:t>
            </w:r>
          </w:p>
          <w:p>
            <w:pPr>
              <w:spacing w:before="0" w:after="20"/>
            </w:pPr>
            <w:r>
              <w:rPr>
                <w:rFonts w:ascii="맑은 고딕" w:hAnsi="맑은 고딕" w:eastAsia="맑은 고딕"/>
                <w:b/>
                <w:sz w:val="19"/>
              </w:rPr>
              <w:t>목적.</w:t>
            </w:r>
            <w:r>
              <w:rPr>
                <w:rFonts w:ascii="맑은 고딕" w:hAnsi="맑은 고딕" w:eastAsia="맑은 고딕"/>
                <w:b w:val="0"/>
                <w:sz w:val="19"/>
              </w:rPr>
              <w:t xml:space="preserve"> (RQ1) 공간 기준으로 양호한 동 중 시간대별로 공급이 크게 약해지는 '시간 사각지대'는 어디·언제 있고, 같은 OD의 차량 비중과 어떤 관계인가 (RQ2) 그 부담은 고령 비율이 높은 동에 몰리는가 (RQ3) 연관된 추가 차량 배출은 연간 얼마인가 (RQ4) 어디에·언제·어떤 수단으로 보강해야 순감축인가. 모든 핵심 결과를 '시간 축' 비교로 제시해, 공간 단면 분석과 다른 근거를 서울시 ART 조사에 더하는 것이 참여 동기다.</w:t>
            </w:r>
          </w:p>
          <w:p>
            <w:pPr>
              <w:spacing w:after="0"/>
              <w:jc w:val="center"/>
            </w:pPr>
            <w:r>
              <w:drawing>
                <wp:inline xmlns:a="http://schemas.openxmlformats.org/drawingml/2006/main" xmlns:pic="http://schemas.openxmlformats.org/drawingml/2006/picture">
                  <wp:extent cx="5112000" cy="2690111"/>
                  <wp:docPr id="1" name="Picture 1"/>
                  <wp:cNvGraphicFramePr>
                    <a:graphicFrameLocks noChangeAspect="1"/>
                  </wp:cNvGraphicFramePr>
                  <a:graphic>
                    <a:graphicData uri="http://schemas.openxmlformats.org/drawingml/2006/picture">
                      <pic:pic>
                        <pic:nvPicPr>
                          <pic:cNvPr id="0" name="그림1_공간시간_2x2지도.png"/>
                          <pic:cNvPicPr/>
                        </pic:nvPicPr>
                        <pic:blipFill>
                          <a:blip r:embed="rId9"/>
                          <a:stretch>
                            <a:fillRect/>
                          </a:stretch>
                        </pic:blipFill>
                        <pic:spPr>
                          <a:xfrm>
                            <a:off x="0" y="0"/>
                            <a:ext cx="5112000" cy="2690111"/>
                          </a:xfrm>
                          <a:prstGeom prst="rect"/>
                        </pic:spPr>
                      </pic:pic>
                    </a:graphicData>
                  </a:graphic>
                </wp:inline>
              </w:drawing>
            </w:r>
          </w:p>
          <w:p>
            <w:pPr>
              <w:spacing w:before="0" w:after="60"/>
            </w:pPr>
            <w:r>
              <w:rPr>
                <w:rFonts w:ascii="맑은 고딕" w:hAnsi="맑은 고딕" w:eastAsia="맑은 고딕"/>
                <w:b w:val="0"/>
                <w:color w:val="444444"/>
                <w:sz w:val="16"/>
              </w:rPr>
              <w:t>그림 1. 공간(800m)×시간 2×2 분류. 진한 주황 = 공간 양호인데 특정 시간대 공급이 같은 시간대 서울 동 순위 하위 20%인 동(상대 개념).</w:t>
            </w:r>
          </w:p>
        </w:tc>
      </w:tr>
      <w:tr>
        <w:tc>
          <w:tcPr>
            <w:tcW w:type="dxa" w:w="1361"/>
            <w:shd w:val="clear" w:color="auto" w:fill="F2F2F2"/>
            <w:vAlign w:val="center"/>
          </w:tcPr>
          <w:p>
            <w:pPr>
              <w:jc w:val="center"/>
            </w:pPr>
            <w:r/>
            <w:r>
              <w:rPr>
                <w:rFonts w:ascii="맑은 고딕" w:hAnsi="맑은 고딕" w:eastAsia="맑은 고딕"/>
                <w:b w:val="0"/>
                <w:sz w:val="20"/>
              </w:rPr>
              <w:t>활용</w:t>
              <w:br/>
              <w:t>데이터</w:t>
            </w:r>
          </w:p>
        </w:tc>
        <w:tc>
          <w:tcPr>
            <w:tcW w:type="dxa" w:w="8277"/>
          </w:tcPr>
          <w:p>
            <w:pPr>
              <w:spacing w:after="20"/>
            </w:pPr>
            <w:r/>
            <w:r>
              <w:rPr>
                <w:rFonts w:ascii="맑은 고딕" w:hAnsi="맑은 고딕" w:eastAsia="맑은 고딕"/>
                <w:b w:val="0"/>
                <w:sz w:val="18"/>
              </w:rPr>
              <w:t>공공데이터 중심, 2026년 9월 화~목 6일(9/8·9·10·15·16·17)과 토·일 4일(9/12·13·19·20) 분석(추석 주간 제외). 개인정보 없는 행정동·시간 집계 자료만 사용.</w:t>
            </w:r>
          </w:p>
          <w:tbl>
            <w:tblPr>
              <w:tblW w:w="7994" w:type="dxa"/>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449"/>
              <w:gridCol w:w="1204"/>
              <w:gridCol w:w="1314"/>
              <w:gridCol w:w="2026"/>
            </w:tblGrid>
            <w:tr>
              <w:tc>
                <w:tcPr>
                  <w:tcW w:type="dxa" w:w="3449"/>
                  <w:shd w:val="clear" w:color="auto" w:fill="EDEDED"/>
                </w:tcPr>
                <w:p>
                  <w:pPr>
                    <w:spacing w:after="0"/>
                  </w:pPr>
                  <w:r>
                    <w:rPr>
                      <w:b/>
                    </w:rPr>
                  </w:r>
                  <w:r>
                    <w:rPr>
                      <w:rFonts w:ascii="맑은 고딕" w:hAnsi="맑은 고딕" w:eastAsia="맑은 고딕"/>
                      <w:b w:val="0"/>
                      <w:sz w:val="15"/>
                    </w:rPr>
                    <w:t>활용 데이터(명)</w:t>
                  </w:r>
                </w:p>
              </w:tc>
              <w:tc>
                <w:tcPr>
                  <w:tcW w:type="dxa" w:w="1205"/>
                  <w:shd w:val="clear" w:color="auto" w:fill="EDEDED"/>
                </w:tcPr>
                <w:p>
                  <w:pPr>
                    <w:spacing w:after="0"/>
                  </w:pPr>
                  <w:r>
                    <w:rPr>
                      <w:b/>
                    </w:rPr>
                  </w:r>
                  <w:r>
                    <w:rPr>
                      <w:rFonts w:ascii="맑은 고딕" w:hAnsi="맑은 고딕" w:eastAsia="맑은 고딕"/>
                      <w:b w:val="0"/>
                      <w:sz w:val="15"/>
                    </w:rPr>
                    <w:t>제공기관</w:t>
                  </w:r>
                </w:p>
              </w:tc>
              <w:tc>
                <w:tcPr>
                  <w:tcW w:type="dxa" w:w="1314"/>
                  <w:shd w:val="clear" w:color="auto" w:fill="EDEDED"/>
                </w:tcPr>
                <w:p>
                  <w:pPr>
                    <w:spacing w:after="0"/>
                  </w:pPr>
                  <w:r>
                    <w:rPr>
                      <w:b/>
                    </w:rPr>
                  </w:r>
                  <w:r>
                    <w:rPr>
                      <w:rFonts w:ascii="맑은 고딕" w:hAnsi="맑은 고딕" w:eastAsia="맑은 고딕"/>
                      <w:b w:val="0"/>
                      <w:sz w:val="15"/>
                    </w:rPr>
                    <w:t>플랫폼</w:t>
                  </w:r>
                </w:p>
              </w:tc>
              <w:tc>
                <w:tcPr>
                  <w:tcW w:type="dxa" w:w="2026"/>
                  <w:shd w:val="clear" w:color="auto" w:fill="EDEDED"/>
                </w:tcPr>
                <w:p>
                  <w:pPr>
                    <w:spacing w:after="0"/>
                  </w:pPr>
                  <w:r>
                    <w:rPr>
                      <w:b/>
                    </w:rPr>
                  </w:r>
                  <w:r>
                    <w:rPr>
                      <w:rFonts w:ascii="맑은 고딕" w:hAnsi="맑은 고딕" w:eastAsia="맑은 고딕"/>
                      <w:b w:val="0"/>
                      <w:sz w:val="15"/>
                    </w:rPr>
                    <w:t>URL</w:t>
                  </w:r>
                </w:p>
              </w:tc>
            </w:tr>
            <w:tr>
              <w:tc>
                <w:tcPr>
                  <w:tcW w:type="dxa" w:w="3449"/>
                </w:tcPr>
                <w:p>
                  <w:pPr>
                    <w:spacing w:after="0"/>
                  </w:pPr>
                  <w:r/>
                  <w:r>
                    <w:rPr>
                      <w:rFonts w:ascii="맑은 고딕" w:hAnsi="맑은 고딕" w:eastAsia="맑은 고딕"/>
                      <w:b w:val="0"/>
                      <w:sz w:val="15"/>
                    </w:rPr>
                    <w:t>수도권 생활이동(출도착 행정동별 수단) OA-22657 — 수요·수단(주 데이터)</w:t>
                  </w:r>
                </w:p>
              </w:tc>
              <w:tc>
                <w:tcPr>
                  <w:tcW w:type="dxa" w:w="1205"/>
                </w:tcPr>
                <w:p>
                  <w:pPr>
                    <w:spacing w:after="0"/>
                  </w:pPr>
                  <w:r/>
                  <w:r>
                    <w:rPr>
                      <w:rFonts w:ascii="맑은 고딕" w:hAnsi="맑은 고딕" w:eastAsia="맑은 고딕"/>
                      <w:b w:val="0"/>
                      <w:sz w:val="15"/>
                    </w:rPr>
                    <w:t>서울특별시·KT</w:t>
                  </w:r>
                </w:p>
              </w:tc>
              <w:tc>
                <w:tcPr>
                  <w:tcW w:type="dxa" w:w="1314"/>
                </w:tcPr>
                <w:p>
                  <w:pPr>
                    <w:spacing w:after="0"/>
                  </w:pPr>
                  <w:r/>
                  <w:r>
                    <w:rPr>
                      <w:rFonts w:ascii="맑은 고딕" w:hAnsi="맑은 고딕" w:eastAsia="맑은 고딕"/>
                      <w:b w:val="0"/>
                      <w:sz w:val="15"/>
                    </w:rPr>
                    <w:t>서울 열린데이터광장</w:t>
                  </w:r>
                </w:p>
              </w:tc>
              <w:tc>
                <w:tcPr>
                  <w:tcW w:type="dxa" w:w="2026"/>
                </w:tcPr>
                <w:p>
                  <w:pPr>
                    <w:spacing w:after="0"/>
                  </w:pPr>
                  <w:r/>
                  <w:r>
                    <w:rPr>
                      <w:rFonts w:ascii="맑은 고딕" w:hAnsi="맑은 고딕" w:eastAsia="맑은 고딕"/>
                      <w:b w:val="0"/>
                      <w:sz w:val="15"/>
                    </w:rPr>
                    <w:t>data.seoul.go.kr/dataList/OA-22657/F/1/datasetView.do</w:t>
                  </w:r>
                </w:p>
              </w:tc>
            </w:tr>
            <w:tr>
              <w:tc>
                <w:tcPr>
                  <w:tcW w:type="dxa" w:w="3449"/>
                </w:tcPr>
                <w:p>
                  <w:pPr>
                    <w:spacing w:after="0"/>
                  </w:pPr>
                  <w:r/>
                  <w:r>
                    <w:rPr>
                      <w:rFonts w:ascii="맑은 고딕" w:hAnsi="맑은 고딕" w:eastAsia="맑은 고딕"/>
                      <w:b w:val="0"/>
                      <w:sz w:val="15"/>
                    </w:rPr>
                    <w:t>서울시 노선별 정류장별 총 버스 운행횟수 OA-21220 — 시간대별 버스 공급</w:t>
                  </w:r>
                </w:p>
              </w:tc>
              <w:tc>
                <w:tcPr>
                  <w:tcW w:type="dxa" w:w="1205"/>
                </w:tcPr>
                <w:p>
                  <w:pPr>
                    <w:spacing w:after="0"/>
                  </w:pPr>
                  <w:r/>
                  <w:r>
                    <w:rPr>
                      <w:rFonts w:ascii="맑은 고딕" w:hAnsi="맑은 고딕" w:eastAsia="맑은 고딕"/>
                      <w:b w:val="0"/>
                      <w:sz w:val="15"/>
                    </w:rPr>
                    <w:t>서울특별시</w:t>
                  </w:r>
                </w:p>
              </w:tc>
              <w:tc>
                <w:tcPr>
                  <w:tcW w:type="dxa" w:w="1314"/>
                </w:tcPr>
                <w:p>
                  <w:pPr>
                    <w:spacing w:after="0"/>
                  </w:pPr>
                  <w:r/>
                  <w:r>
                    <w:rPr>
                      <w:rFonts w:ascii="맑은 고딕" w:hAnsi="맑은 고딕" w:eastAsia="맑은 고딕"/>
                      <w:b w:val="0"/>
                      <w:sz w:val="15"/>
                    </w:rPr>
                    <w:t>서울 열린데이터광장</w:t>
                  </w:r>
                </w:p>
              </w:tc>
              <w:tc>
                <w:tcPr>
                  <w:tcW w:type="dxa" w:w="2026"/>
                </w:tcPr>
                <w:p>
                  <w:pPr>
                    <w:spacing w:after="0"/>
                  </w:pPr>
                  <w:r/>
                  <w:r>
                    <w:rPr>
                      <w:rFonts w:ascii="맑은 고딕" w:hAnsi="맑은 고딕" w:eastAsia="맑은 고딕"/>
                      <w:b w:val="0"/>
                      <w:sz w:val="15"/>
                    </w:rPr>
                    <w:t>data.seoul.go.kr/dataList/OA-21220/F/1/datasetView.do</w:t>
                  </w:r>
                </w:p>
              </w:tc>
            </w:tr>
            <w:tr>
              <w:tc>
                <w:tcPr>
                  <w:tcW w:type="dxa" w:w="3449"/>
                </w:tcPr>
                <w:p>
                  <w:pPr>
                    <w:spacing w:after="0"/>
                  </w:pPr>
                  <w:r/>
                  <w:r>
                    <w:rPr>
                      <w:rFonts w:ascii="맑은 고딕" w:hAnsi="맑은 고딕" w:eastAsia="맑은 고딕"/>
                      <w:b w:val="0"/>
                      <w:sz w:val="15"/>
                    </w:rPr>
                    <w:t>서울시 버스정류소 위치정보 OA-15067 — 정류소 좌표·중앙/가로변 차로</w:t>
                  </w:r>
                </w:p>
              </w:tc>
              <w:tc>
                <w:tcPr>
                  <w:tcW w:type="dxa" w:w="1205"/>
                </w:tcPr>
                <w:p>
                  <w:pPr>
                    <w:spacing w:after="0"/>
                  </w:pPr>
                  <w:r/>
                  <w:r>
                    <w:rPr>
                      <w:rFonts w:ascii="맑은 고딕" w:hAnsi="맑은 고딕" w:eastAsia="맑은 고딕"/>
                      <w:b w:val="0"/>
                      <w:sz w:val="15"/>
                    </w:rPr>
                    <w:t>서울특별시</w:t>
                  </w:r>
                </w:p>
              </w:tc>
              <w:tc>
                <w:tcPr>
                  <w:tcW w:type="dxa" w:w="1314"/>
                </w:tcPr>
                <w:p>
                  <w:pPr>
                    <w:spacing w:after="0"/>
                  </w:pPr>
                  <w:r/>
                  <w:r>
                    <w:rPr>
                      <w:rFonts w:ascii="맑은 고딕" w:hAnsi="맑은 고딕" w:eastAsia="맑은 고딕"/>
                      <w:b w:val="0"/>
                      <w:sz w:val="15"/>
                    </w:rPr>
                    <w:t>서울 열린데이터광장</w:t>
                  </w:r>
                </w:p>
              </w:tc>
              <w:tc>
                <w:tcPr>
                  <w:tcW w:type="dxa" w:w="2026"/>
                </w:tcPr>
                <w:p>
                  <w:pPr>
                    <w:spacing w:after="0"/>
                  </w:pPr>
                  <w:r/>
                  <w:r>
                    <w:rPr>
                      <w:rFonts w:ascii="맑은 고딕" w:hAnsi="맑은 고딕" w:eastAsia="맑은 고딕"/>
                      <w:b w:val="0"/>
                      <w:sz w:val="15"/>
                    </w:rPr>
                    <w:t>data.seoul.go.kr/dataList/OA-15067/S/1/datasetView.do</w:t>
                  </w:r>
                </w:p>
              </w:tc>
            </w:tr>
            <w:tr>
              <w:tc>
                <w:tcPr>
                  <w:tcW w:type="dxa" w:w="3449"/>
                </w:tcPr>
                <w:p>
                  <w:pPr>
                    <w:spacing w:after="0"/>
                  </w:pPr>
                  <w:r/>
                  <w:r>
                    <w:rPr>
                      <w:rFonts w:ascii="맑은 고딕" w:hAnsi="맑은 고딕" w:eastAsia="맑은 고딕"/>
                      <w:b w:val="0"/>
                      <w:sz w:val="15"/>
                    </w:rPr>
                    <w:t>서울교통공사 열차운행현황 OA-13318 — 지하철 시격</w:t>
                  </w:r>
                </w:p>
              </w:tc>
              <w:tc>
                <w:tcPr>
                  <w:tcW w:type="dxa" w:w="1205"/>
                </w:tcPr>
                <w:p>
                  <w:pPr>
                    <w:spacing w:after="0"/>
                  </w:pPr>
                  <w:r/>
                  <w:r>
                    <w:rPr>
                      <w:rFonts w:ascii="맑은 고딕" w:hAnsi="맑은 고딕" w:eastAsia="맑은 고딕"/>
                      <w:b w:val="0"/>
                      <w:sz w:val="15"/>
                    </w:rPr>
                    <w:t>서울교통공사</w:t>
                  </w:r>
                </w:p>
              </w:tc>
              <w:tc>
                <w:tcPr>
                  <w:tcW w:type="dxa" w:w="1314"/>
                </w:tcPr>
                <w:p>
                  <w:pPr>
                    <w:spacing w:after="0"/>
                  </w:pPr>
                  <w:r/>
                  <w:r>
                    <w:rPr>
                      <w:rFonts w:ascii="맑은 고딕" w:hAnsi="맑은 고딕" w:eastAsia="맑은 고딕"/>
                      <w:b w:val="0"/>
                      <w:sz w:val="15"/>
                    </w:rPr>
                    <w:t>서울 열린데이터광장</w:t>
                  </w:r>
                </w:p>
              </w:tc>
              <w:tc>
                <w:tcPr>
                  <w:tcW w:type="dxa" w:w="2026"/>
                </w:tcPr>
                <w:p>
                  <w:pPr>
                    <w:spacing w:after="0"/>
                  </w:pPr>
                  <w:r/>
                  <w:r>
                    <w:rPr>
                      <w:rFonts w:ascii="맑은 고딕" w:hAnsi="맑은 고딕" w:eastAsia="맑은 고딕"/>
                      <w:b w:val="0"/>
                      <w:sz w:val="15"/>
                    </w:rPr>
                    <w:t>data.seoul.go.kr/dataList/OA-13318/F/1/datasetView.do</w:t>
                  </w:r>
                </w:p>
              </w:tc>
            </w:tr>
            <w:tr>
              <w:tc>
                <w:tcPr>
                  <w:tcW w:type="dxa" w:w="3449"/>
                </w:tcPr>
                <w:p>
                  <w:pPr>
                    <w:spacing w:after="0"/>
                  </w:pPr>
                  <w:r/>
                  <w:r>
                    <w:rPr>
                      <w:rFonts w:ascii="맑은 고딕" w:hAnsi="맑은 고딕" w:eastAsia="맑은 고딕"/>
                      <w:b w:val="0"/>
                      <w:sz w:val="15"/>
                    </w:rPr>
                    <w:t>행정동 단위 서울 생활인구(내국인) OA-14991 — 공백 노출</w:t>
                  </w:r>
                </w:p>
              </w:tc>
              <w:tc>
                <w:tcPr>
                  <w:tcW w:type="dxa" w:w="1205"/>
                </w:tcPr>
                <w:p>
                  <w:pPr>
                    <w:spacing w:after="0"/>
                  </w:pPr>
                  <w:r/>
                  <w:r>
                    <w:rPr>
                      <w:rFonts w:ascii="맑은 고딕" w:hAnsi="맑은 고딕" w:eastAsia="맑은 고딕"/>
                      <w:b w:val="0"/>
                      <w:sz w:val="15"/>
                    </w:rPr>
                    <w:t>서울특별시·KT</w:t>
                  </w:r>
                </w:p>
              </w:tc>
              <w:tc>
                <w:tcPr>
                  <w:tcW w:type="dxa" w:w="1314"/>
                </w:tcPr>
                <w:p>
                  <w:pPr>
                    <w:spacing w:after="0"/>
                  </w:pPr>
                  <w:r/>
                  <w:r>
                    <w:rPr>
                      <w:rFonts w:ascii="맑은 고딕" w:hAnsi="맑은 고딕" w:eastAsia="맑은 고딕"/>
                      <w:b w:val="0"/>
                      <w:sz w:val="15"/>
                    </w:rPr>
                    <w:t>서울 열린데이터광장</w:t>
                  </w:r>
                </w:p>
              </w:tc>
              <w:tc>
                <w:tcPr>
                  <w:tcW w:type="dxa" w:w="2026"/>
                </w:tcPr>
                <w:p>
                  <w:pPr>
                    <w:spacing w:after="0"/>
                  </w:pPr>
                  <w:r/>
                  <w:r>
                    <w:rPr>
                      <w:rFonts w:ascii="맑은 고딕" w:hAnsi="맑은 고딕" w:eastAsia="맑은 고딕"/>
                      <w:b w:val="0"/>
                      <w:sz w:val="15"/>
                    </w:rPr>
                    <w:t>data.seoul.go.kr/dataList/OA-14991/S/1/datasetView.do</w:t>
                  </w:r>
                </w:p>
              </w:tc>
            </w:tr>
            <w:tr>
              <w:tc>
                <w:tcPr>
                  <w:tcW w:type="dxa" w:w="3449"/>
                </w:tcPr>
                <w:p>
                  <w:pPr>
                    <w:spacing w:after="0"/>
                  </w:pPr>
                  <w:r/>
                  <w:r>
                    <w:rPr>
                      <w:rFonts w:ascii="맑은 고딕" w:hAnsi="맑은 고딕" w:eastAsia="맑은 고딕"/>
                      <w:b w:val="0"/>
                      <w:sz w:val="15"/>
                    </w:rPr>
                    <w:t>지역별(행정동) 성별 연령별 주민등록 인구수 — 65세 이상 비율</w:t>
                  </w:r>
                </w:p>
              </w:tc>
              <w:tc>
                <w:tcPr>
                  <w:tcW w:type="dxa" w:w="1205"/>
                </w:tcPr>
                <w:p>
                  <w:pPr>
                    <w:spacing w:after="0"/>
                  </w:pPr>
                  <w:r/>
                  <w:r>
                    <w:rPr>
                      <w:rFonts w:ascii="맑은 고딕" w:hAnsi="맑은 고딕" w:eastAsia="맑은 고딕"/>
                      <w:b w:val="0"/>
                      <w:sz w:val="15"/>
                    </w:rPr>
                    <w:t>행정안전부</w:t>
                  </w:r>
                </w:p>
              </w:tc>
              <w:tc>
                <w:tcPr>
                  <w:tcW w:type="dxa" w:w="1314"/>
                </w:tcPr>
                <w:p>
                  <w:pPr>
                    <w:spacing w:after="0"/>
                  </w:pPr>
                  <w:r/>
                  <w:r>
                    <w:rPr>
                      <w:rFonts w:ascii="맑은 고딕" w:hAnsi="맑은 고딕" w:eastAsia="맑은 고딕"/>
                      <w:b w:val="0"/>
                      <w:sz w:val="15"/>
                    </w:rPr>
                    <w:t>공공데이터포털</w:t>
                  </w:r>
                </w:p>
              </w:tc>
              <w:tc>
                <w:tcPr>
                  <w:tcW w:type="dxa" w:w="2026"/>
                </w:tcPr>
                <w:p>
                  <w:pPr>
                    <w:spacing w:after="0"/>
                  </w:pPr>
                  <w:r/>
                  <w:r>
                    <w:rPr>
                      <w:rFonts w:ascii="맑은 고딕" w:hAnsi="맑은 고딕" w:eastAsia="맑은 고딕"/>
                      <w:b w:val="0"/>
                      <w:sz w:val="15"/>
                    </w:rPr>
                    <w:t>data.go.kr/data/15097972/fileData.do</w:t>
                  </w:r>
                </w:p>
              </w:tc>
            </w:tr>
            <w:tr>
              <w:tc>
                <w:tcPr>
                  <w:tcW w:type="dxa" w:w="3449"/>
                </w:tcPr>
                <w:p>
                  <w:pPr>
                    <w:spacing w:after="0"/>
                  </w:pPr>
                  <w:r/>
                  <w:r>
                    <w:rPr>
                      <w:rFonts w:ascii="맑은 고딕" w:hAnsi="맑은 고딕" w:eastAsia="맑은 고딕"/>
                      <w:b w:val="0"/>
                      <w:sz w:val="15"/>
                    </w:rPr>
                    <w:t>행정동 경계(ver20260701) / 지하철역 위치</w:t>
                  </w:r>
                </w:p>
              </w:tc>
              <w:tc>
                <w:tcPr>
                  <w:tcW w:type="dxa" w:w="1205"/>
                </w:tcPr>
                <w:p>
                  <w:pPr>
                    <w:spacing w:after="0"/>
                  </w:pPr>
                  <w:r/>
                  <w:r>
                    <w:rPr>
                      <w:rFonts w:ascii="맑은 고딕" w:hAnsi="맑은 고딕" w:eastAsia="맑은 고딕"/>
                      <w:b w:val="0"/>
                      <w:sz w:val="15"/>
                    </w:rPr>
                    <w:t>vuski / OpenStreetMap</w:t>
                  </w:r>
                </w:p>
              </w:tc>
              <w:tc>
                <w:tcPr>
                  <w:tcW w:type="dxa" w:w="1314"/>
                </w:tcPr>
                <w:p>
                  <w:pPr>
                    <w:spacing w:after="0"/>
                  </w:pPr>
                  <w:r/>
                  <w:r>
                    <w:rPr>
                      <w:rFonts w:ascii="맑은 고딕" w:hAnsi="맑은 고딕" w:eastAsia="맑은 고딕"/>
                      <w:b w:val="0"/>
                      <w:sz w:val="15"/>
                    </w:rPr>
                    <w:t>GitHub / Overpass API</w:t>
                  </w:r>
                </w:p>
              </w:tc>
              <w:tc>
                <w:tcPr>
                  <w:tcW w:type="dxa" w:w="2026"/>
                </w:tcPr>
                <w:p>
                  <w:pPr>
                    <w:spacing w:after="0"/>
                  </w:pPr>
                  <w:r/>
                  <w:r>
                    <w:rPr>
                      <w:rFonts w:ascii="맑은 고딕" w:hAnsi="맑은 고딕" w:eastAsia="맑은 고딕"/>
                      <w:b w:val="0"/>
                      <w:sz w:val="15"/>
                    </w:rPr>
                    <w:t>github.com/vuski/admdongkor / openstreetmap.org</w:t>
                  </w:r>
                </w:p>
              </w:tc>
            </w:tr>
          </w:tbl>
          <w:p>
            <w:pPr>
              <w:spacing w:after="40" w:line="80" w:lineRule="exact"/>
            </w:pPr>
          </w:p>
          <w:p>
            <w:pPr>
              <w:spacing w:before="0" w:after="20"/>
            </w:pPr>
            <w:r>
              <w:rPr>
                <w:rFonts w:ascii="맑은 고딕" w:hAnsi="맑은 고딕" w:eastAsia="맑은 고딕"/>
                <w:b w:val="0"/>
                <w:sz w:val="17"/>
              </w:rPr>
              <w:t>생활인구는 2026년 9월분이 아직 공개되지 않아(최신 2026-07) 계절이 같은 2025년 9월분을 썼다. 선정 이유: 생활이동 OD×수단은 같은 출발·도착지의 시간대별 수단 선택을 담은 유일한 공개 자료이고, 버스 운행횟수는 일자·시간(1시간) 해상도로 공급을 잰다. 승하차 인원은 수요와 섞여 공급 지표로 쓰지 않았다. 배출계수는 원문을 확인한 공식 자료만 썼다(참고문헌).</w:t>
            </w:r>
          </w:p>
        </w:tc>
      </w:tr>
      <w:tr>
        <w:tc>
          <w:tcPr>
            <w:tcW w:type="dxa" w:w="1361"/>
            <w:shd w:val="clear" w:color="auto" w:fill="F2F2F2"/>
            <w:vAlign w:val="center"/>
          </w:tcPr>
          <w:p>
            <w:pPr>
              <w:jc w:val="center"/>
            </w:pPr>
            <w:r/>
            <w:r>
              <w:rPr>
                <w:rFonts w:ascii="맑은 고딕" w:hAnsi="맑은 고딕" w:eastAsia="맑은 고딕"/>
                <w:b w:val="0"/>
                <w:sz w:val="20"/>
              </w:rPr>
              <w:t>분석과정</w:t>
              <w:br/>
              <w:t>및 방법</w:t>
            </w:r>
          </w:p>
        </w:tc>
        <w:tc>
          <w:tcPr>
            <w:tcW w:type="dxa" w:w="8277"/>
          </w:tcPr>
          <w:p>
            <w:pPr>
              <w:spacing w:after="20"/>
            </w:pPr>
            <w:r/>
            <w:r>
              <w:rPr>
                <w:rFonts w:ascii="맑은 고딕" w:hAnsi="맑은 고딕" w:eastAsia="맑은 고딕"/>
                <w:b/>
                <w:sz w:val="18"/>
              </w:rPr>
              <w:t>① 수집·전처리.</w:t>
            </w:r>
            <w:r>
              <w:rPr>
                <w:rFonts w:ascii="맑은 고딕" w:hAnsi="맑은 고딕" w:eastAsia="맑은 고딕"/>
                <w:b w:val="0"/>
                <w:sz w:val="18"/>
              </w:rPr>
              <w:t xml:space="preserve"> 일별 zip(일 약 800만 행)을 하나씩 풀어 duckdb로 서울 내부(출발·도착 모두 서울) 통행만 (출발 동, 도착 동, 출발 시, 수단)으로 집계한 뒤 임시 파일을 지웠다. 차량 비중 = 차량 ÷ (차량+일반버스+광역버스+지하철). 500m 미만 차량 행(위치 오차)·동 내부 통행 제외, 일평균 20통행 이상 OD쌍만 남겨 </w:t>
            </w:r>
            <w:r>
              <w:rPr>
                <w:rFonts w:ascii="맑은 고딕" w:hAnsi="맑은 고딕" w:eastAsia="맑은 고딕"/>
                <w:b/>
                <w:sz w:val="18"/>
              </w:rPr>
              <w:t>1,277,629행 패널</w:t>
            </w:r>
            <w:r>
              <w:rPr>
                <w:rFonts w:ascii="맑은 고딕" w:hAnsi="맑은 고딕" w:eastAsia="맑은 고딕"/>
                <w:b w:val="0"/>
                <w:sz w:val="18"/>
              </w:rPr>
              <w:t>(OD×8개 시간 구간×평일/주말, 통행의 92% 포괄)을 만들었다.</w:t>
            </w:r>
          </w:p>
          <w:p>
            <w:pPr>
              <w:spacing w:before="0" w:after="20"/>
            </w:pPr>
            <w:r>
              <w:rPr>
                <w:rFonts w:ascii="맑은 고딕" w:hAnsi="맑은 고딕" w:eastAsia="맑은 고딕"/>
                <w:b/>
                <w:sz w:val="18"/>
              </w:rPr>
              <w:t>② 공급 지표 S.</w:t>
            </w:r>
            <w:r>
              <w:rPr>
                <w:rFonts w:ascii="맑은 고딕" w:hAnsi="맑은 고딕" w:eastAsia="맑은 고딕"/>
                <w:b w:val="0"/>
                <w:sz w:val="18"/>
              </w:rPr>
              <w:t xml:space="preserve"> 동 안 정류소의 운행횟수를 (노선, 시)마다 최댓값으로 잡아 같은 버스의 중복을 없앤 뒤 합산하고, 지하철은 역 800m 안에 드는 동 면적 비율 × 시간당 열차 수(서울교통공사 시격)로 더해 S = log(1 + 버스 + 3×열차). 공간 양호 = 동 면적의 50% 이상이 지하철역·중앙/가로변 버스전용차로 정류소 800m 안(서울시 ART 근사).</w:t>
            </w:r>
          </w:p>
          <w:p>
            <w:pPr>
              <w:spacing w:before="0" w:after="20"/>
            </w:pPr>
            <w:r>
              <w:rPr>
                <w:rFonts w:ascii="맑은 고딕" w:hAnsi="맑은 고딕" w:eastAsia="맑은 고딕"/>
                <w:b/>
                <w:sz w:val="18"/>
              </w:rPr>
              <w:t>③ 같은 길, 다른 시간 모형.</w:t>
            </w:r>
            <w:r>
              <w:rPr>
                <w:rFonts w:ascii="맑은 고딕" w:hAnsi="맑은 고딕" w:eastAsia="맑은 고딕"/>
                <w:b w:val="0"/>
                <w:sz w:val="18"/>
              </w:rPr>
              <w:t xml:space="preserve"> 차량비중 ~ S_출발 + S_도착 | OD쌍 고정효과 + 시간구간×요일 고정효과(통행 가중, 출발 동 군집 표준오차). OD쌍 고정효과가 거리·동네 특성을 지우고, 같은 OD가 시간대에 따라 공급이 상대적으로 낮을 때 차가 더 쓰이는지(연관)만 본다. 계수는 심야(22–05)·새벽(05–07)·주간(07–22)마다 </w:t>
            </w:r>
            <w:r>
              <w:rPr>
                <w:rFonts w:ascii="맑은 고딕" w:hAnsi="맑은 고딕" w:eastAsia="맑은 고딕"/>
                <w:b/>
                <w:sz w:val="18"/>
              </w:rPr>
              <w:t>그 시간대 안의 변동만으로 따로</w:t>
            </w:r>
            <w:r>
              <w:rPr>
                <w:rFonts w:ascii="맑은 고딕" w:hAnsi="맑은 고딕" w:eastAsia="맑은 고딕"/>
                <w:b w:val="0"/>
                <w:sz w:val="18"/>
              </w:rPr>
              <w:t xml:space="preserve"> 추정했다(OD×시간대 고정효과). 출발 동을 묶어 다시 뽑는 블록 부트스트랩 200회로 구간을 냈다.</w:t>
            </w:r>
          </w:p>
          <w:p>
            <w:pPr>
              <w:spacing w:before="0" w:after="20"/>
            </w:pPr>
            <w:r>
              <w:rPr>
                <w:rFonts w:ascii="맑은 고딕" w:hAnsi="맑은 고딕" w:eastAsia="맑은 고딕"/>
                <w:b/>
                <w:sz w:val="18"/>
              </w:rPr>
              <w:t>④ 시간 사각지대 셀</w:t>
            </w:r>
            <w:r>
              <w:rPr>
                <w:rFonts w:ascii="맑은 고딕" w:hAnsi="맑은 고딕" w:eastAsia="맑은 고딕"/>
                <w:b w:val="0"/>
                <w:sz w:val="18"/>
              </w:rPr>
              <w:t xml:space="preserve">(동×구간×요일, 상대 개념): 그 시간대·요일 서울 동 공급 순위 하위 20% ∧ p75(같은 시간대 상위 25% 동 수준)와의 공급 격차 상위 20% ∧ 출발 통행 50/일 이상. (x,y)∈{10,20,30}², 공간 기준 30/50/70% 민감도. </w:t>
            </w:r>
            <w:r>
              <w:rPr>
                <w:rFonts w:ascii="맑은 고딕" w:hAnsi="맑은 고딕" w:eastAsia="맑은 고딕"/>
                <w:b/>
                <w:sz w:val="18"/>
              </w:rPr>
              <w:t>⑤ 탄소</w:t>
            </w:r>
            <w:r>
              <w:rPr>
                <w:rFonts w:ascii="맑은 고딕" w:hAnsi="맑은 고딕" w:eastAsia="맑은 고딕"/>
                <w:b w:val="0"/>
                <w:sz w:val="18"/>
              </w:rPr>
              <w:t xml:space="preserve">: 공급을 p75로 올리는 반사실(관측 범위 안)의 차량 통행 감소 × 직선거리 × 우회계수 ÷ 재차인원 × g/km, 그 시간대 계수만 적용, 2026년 달력(평일 245·주말공휴일 120일). </w:t>
            </w:r>
            <w:r>
              <w:rPr>
                <w:rFonts w:ascii="맑은 고딕" w:hAnsi="맑은 고딕" w:eastAsia="맑은 고딕"/>
                <w:b/>
                <w:sz w:val="18"/>
              </w:rPr>
              <w:t>⑥ 외생 충격</w:t>
            </w:r>
            <w:r>
              <w:rPr>
                <w:rFonts w:ascii="맑은 고딕" w:hAnsi="맑은 고딕" w:eastAsia="맑은 고딕"/>
                <w:b w:val="0"/>
                <w:sz w:val="18"/>
              </w:rPr>
              <w:t xml:space="preserve">: 2026-01-13·14 시내버스 파업일 vs 같은 요일 대조일 이중차분. </w:t>
            </w:r>
            <w:r>
              <w:rPr>
                <w:rFonts w:ascii="맑은 고딕" w:hAnsi="맑은 고딕" w:eastAsia="맑은 고딕"/>
                <w:b/>
                <w:sz w:val="18"/>
              </w:rPr>
              <w:t>⑦ 처방 시뮬레이션</w:t>
            </w:r>
            <w:r>
              <w:rPr>
                <w:rFonts w:ascii="맑은 고딕" w:hAnsi="맑은 고딕" w:eastAsia="맑은 고딕"/>
                <w:b w:val="0"/>
                <w:sz w:val="18"/>
              </w:rPr>
              <w:t>: 증회(CNG)·DRT·전기버스 손익분기·같은 구 안 운행 재배분(총 운행·버스km 불변).</w:t>
            </w:r>
          </w:p>
        </w:tc>
      </w:tr>
      <w:tr>
        <w:tc>
          <w:tcPr>
            <w:tcW w:type="dxa" w:w="1361"/>
            <w:shd w:val="clear" w:color="auto" w:fill="F2F2F2"/>
            <w:vAlign w:val="center"/>
          </w:tcPr>
          <w:p>
            <w:pPr>
              <w:jc w:val="center"/>
            </w:pPr>
            <w:r/>
            <w:r>
              <w:rPr>
                <w:rFonts w:ascii="맑은 고딕" w:hAnsi="맑은 고딕" w:eastAsia="맑은 고딕"/>
                <w:b w:val="0"/>
                <w:sz w:val="20"/>
              </w:rPr>
              <w:t>AI 기술</w:t>
              <w:br/>
              <w:t>활용</w:t>
            </w:r>
          </w:p>
        </w:tc>
        <w:tc>
          <w:tcPr>
            <w:tcW w:type="dxa" w:w="8277"/>
          </w:tcPr>
          <w:p>
            <w:pPr>
              <w:spacing w:after="20"/>
            </w:pPr>
            <w:r/>
            <w:r>
              <w:rPr>
                <w:rFonts w:ascii="맑은 고딕" w:hAnsi="맑은 고딕" w:eastAsia="맑은 고딕"/>
                <w:b/>
                <w:sz w:val="18"/>
              </w:rPr>
              <w:t>분석 기법(통계·ML).</w:t>
            </w:r>
            <w:r>
              <w:rPr>
                <w:rFonts w:ascii="맑은 고딕" w:hAnsi="맑은 고딕" w:eastAsia="맑은 고딕"/>
                <w:b w:val="0"/>
                <w:sz w:val="18"/>
              </w:rPr>
              <w:t xml:space="preserve"> 고차원 고정효과 가중회귀(pyfixest), 블록 부트스트랩, 이중차분, 한계효과 기반 탐욕 재배분 최적화. </w:t>
            </w:r>
            <w:r>
              <w:rPr>
                <w:rFonts w:ascii="맑은 고딕" w:hAnsi="맑은 고딕" w:eastAsia="맑은 고딕"/>
                <w:b/>
                <w:sz w:val="18"/>
              </w:rPr>
              <w:t>생성형 AI(작업 보조).</w:t>
            </w:r>
            <w:r>
              <w:rPr>
                <w:rFonts w:ascii="맑은 고딕" w:hAnsi="맑은 고딕" w:eastAsia="맑은 고딕"/>
                <w:b w:val="0"/>
                <w:sz w:val="18"/>
              </w:rPr>
              <w:t xml:space="preserve"> Anthropic Claude Code(Claude Opus 5.5)를 코드 작성·실행, 데이터 구조 점검, 공식 출처 검색·원문 대조, 그림·보고서 초안에 사용. 사람은 주제 확정, 데이터 다운로드 일부, 검토·서명·제출을 맡았다. 주요 프롬프트: "확정 주제의 분석·보고서·프로토타입을 완성하라. 데이터에서 확인하지 않은 수치·출처를 만들지 말고, 가정은 가정으로 표시하고, 상관을 인과로 쓰지 마라." 검증: 보고서의 모든 숫자는 코드가 결과 파일에서 읽어 넣었고 수치대조표(저장소 outputs/10_수치대조표.csv)로 추적된다.</w:t>
            </w:r>
          </w:p>
        </w:tc>
      </w:tr>
      <w:tr>
        <w:tc>
          <w:tcPr>
            <w:tcW w:type="dxa" w:w="1361"/>
            <w:shd w:val="clear" w:color="auto" w:fill="F2F2F2"/>
            <w:vAlign w:val="center"/>
          </w:tcPr>
          <w:p>
            <w:pPr>
              <w:jc w:val="center"/>
            </w:pPr>
            <w:r/>
            <w:r>
              <w:rPr>
                <w:rFonts w:ascii="맑은 고딕" w:hAnsi="맑은 고딕" w:eastAsia="맑은 고딕"/>
                <w:b w:val="0"/>
                <w:sz w:val="20"/>
              </w:rPr>
              <w:t>분석 내용</w:t>
              <w:br/>
              <w:t>및 결과</w:t>
            </w:r>
          </w:p>
        </w:tc>
        <w:tc>
          <w:tcPr>
            <w:tcW w:type="dxa" w:w="8277"/>
          </w:tcPr>
          <w:p>
            <w:pPr>
              <w:spacing w:after="20"/>
            </w:pPr>
            <w:r/>
            <w:r>
              <w:rPr>
                <w:rFonts w:ascii="맑은 고딕" w:hAnsi="맑은 고딕" w:eastAsia="맑은 고딕"/>
                <w:b/>
                <w:sz w:val="20"/>
              </w:rPr>
              <w:t>(1) 같은 길, 다른 시간: 공급과 차량의 관계는 심야·새벽에서만 뚜렷하다</w:t>
            </w:r>
          </w:p>
          <w:p>
            <w:pPr>
              <w:spacing w:before="0" w:after="20"/>
            </w:pPr>
            <w:r>
              <w:rPr>
                <w:rFonts w:ascii="맑은 고딕" w:hAnsi="맑은 고딕" w:eastAsia="맑은 고딕"/>
                <w:b w:val="0"/>
                <w:sz w:val="18"/>
              </w:rPr>
              <w:t xml:space="preserve">같은 출발·도착 동의 같은 거리 이동에서, 시간대를 모두 섞은 공통 계수로는 출발지 공급이 log 1단위(약 63%) 낮을 때 차량 비중이 3.4%p 높았다(95% 1.7~5.0%p, 연관). 그러나 이 값은 주로 심야와 주간의 수준 차이에서 나온다. 평일만 쓰면 p=0.050로 경계선이다. 그래서 </w:t>
            </w:r>
            <w:r>
              <w:rPr>
                <w:rFonts w:ascii="맑은 고딕" w:hAnsi="맑은 고딕" w:eastAsia="맑은 고딕"/>
                <w:b/>
                <w:sz w:val="18"/>
              </w:rPr>
              <w:t>시간대마다 그 시간대 안의 변동만으로 계수를 따로 구했다.</w:t>
            </w:r>
            <w:r>
              <w:rPr>
                <w:rFonts w:ascii="맑은 고딕" w:hAnsi="맑은 고딕" w:eastAsia="맑은 고딕"/>
                <w:b w:val="0"/>
                <w:sz w:val="18"/>
              </w:rPr>
              <w:t xml:space="preserve"> 심야(22–05시)는 출발지 공급 계수 </w:t>
            </w:r>
            <w:r>
              <w:rPr>
                <w:rFonts w:ascii="맑은 고딕" w:hAnsi="맑은 고딕" w:eastAsia="맑은 고딕"/>
                <w:b/>
                <w:sz w:val="18"/>
              </w:rPr>
              <w:t>−8.0%p</w:t>
            </w:r>
            <w:r>
              <w:rPr>
                <w:rFonts w:ascii="맑은 고딕" w:hAnsi="맑은 고딕" w:eastAsia="맑은 고딕"/>
                <w:b w:val="0"/>
                <w:sz w:val="18"/>
              </w:rPr>
              <w:t xml:space="preserve">(95% −11.6~−4.4; 공급이 log 0.25(약 22%) 낮으면 차량 비중 +2.0%p), 새벽(05–07시)은 도착지 공급 계수 −25.9%p로 뚜렷하다. 주간(07–22시)은 출발지 +2.3%p(p=0.26), 도착지 +3.2%p로 관계가 없거나 반대 부호다. </w:t>
            </w:r>
            <w:r>
              <w:rPr>
                <w:rFonts w:ascii="맑은 고딕" w:hAnsi="맑은 고딕" w:eastAsia="맑은 고딕"/>
                <w:b/>
                <w:sz w:val="18"/>
              </w:rPr>
              <w:t>파업으로 낮 시간 주장을 다시 점검했다.</w:t>
            </w:r>
            <w:r>
              <w:rPr>
                <w:rFonts w:ascii="맑은 고딕" w:hAnsi="맑은 고딕" w:eastAsia="맑은 고딕"/>
                <w:b w:val="0"/>
                <w:sz w:val="18"/>
              </w:rPr>
              <w:t xml:space="preserve"> 버스 파업일(서울 정류장 운행 66% 감소)에 버스 의존 동일수록 차량 '비중'은 올랐다(버스 비중 10%p당 +0.53%p, 낮 07–22시 기준 버스 비중 1단위당 +5.1%p). 하지만 차량 '통행 수'는 늘지 않았다(낮 -1.3%, 95% -8.4~+6.2%; 평일 09–16시 -8.7%; 서울 전체 차량 통행 -4.8%). 비중이 오른 것은 대중교통 통행이 줄었기 때문이다(낮 통행 −15%). → 낮에 버스가 줄면 사람들은 차로 옮기기보다 이동을 줄인다. 낮 시간 추가 배출은 근거가 약해 헤드라인에서 뺐고, 낮 시간 공백은 탄소가 아니라 이동 기회의 문제로 다룬다.</w:t>
            </w:r>
          </w:p>
          <w:p>
            <w:pPr>
              <w:spacing w:after="0"/>
              <w:jc w:val="center"/>
            </w:pPr>
            <w:r>
              <w:drawing>
                <wp:inline xmlns:a="http://schemas.openxmlformats.org/drawingml/2006/main" xmlns:pic="http://schemas.openxmlformats.org/drawingml/2006/picture">
                  <wp:extent cx="4031999" cy="1846857"/>
                  <wp:docPr id="2" name="Picture 2"/>
                  <wp:cNvGraphicFramePr>
                    <a:graphicFrameLocks noChangeAspect="1"/>
                  </wp:cNvGraphicFramePr>
                  <a:graphic>
                    <a:graphicData uri="http://schemas.openxmlformats.org/drawingml/2006/picture">
                      <pic:pic>
                        <pic:nvPicPr>
                          <pic:cNvPr id="0" name="그림2_같은OD_다른시간.png"/>
                          <pic:cNvPicPr/>
                        </pic:nvPicPr>
                        <pic:blipFill>
                          <a:blip r:embed="rId10"/>
                          <a:stretch>
                            <a:fillRect/>
                          </a:stretch>
                        </pic:blipFill>
                        <pic:spPr>
                          <a:xfrm>
                            <a:off x="0" y="0"/>
                            <a:ext cx="4031999" cy="1846857"/>
                          </a:xfrm>
                          <a:prstGeom prst="rect"/>
                        </pic:spPr>
                      </pic:pic>
                    </a:graphicData>
                  </a:graphic>
                </wp:inline>
              </w:drawing>
            </w:r>
          </w:p>
          <w:p>
            <w:pPr>
              <w:spacing w:before="0" w:after="60"/>
            </w:pPr>
            <w:r>
              <w:rPr>
                <w:rFonts w:ascii="맑은 고딕" w:hAnsi="맑은 고딕" w:eastAsia="맑은 고딕"/>
                <w:b w:val="0"/>
                <w:color w:val="444444"/>
                <w:sz w:val="16"/>
              </w:rPr>
              <w:t>그림 2. 같은 OD 안의 시간 변동(왼쪽: OD·시간대×요일 고정효과를 뺀 잔차, 20분위)과 모형별 출발지 계수(오른쪽, 파랑 = 시간대 안 변동만 쓴 계수).</w:t>
            </w:r>
          </w:p>
          <w:p>
            <w:pPr>
              <w:spacing w:after="0"/>
              <w:jc w:val="center"/>
            </w:pPr>
            <w:r>
              <w:drawing>
                <wp:inline xmlns:a="http://schemas.openxmlformats.org/drawingml/2006/main" xmlns:pic="http://schemas.openxmlformats.org/drawingml/2006/picture">
                  <wp:extent cx="3780000" cy="1769741"/>
                  <wp:docPr id="3" name="Picture 3"/>
                  <wp:cNvGraphicFramePr>
                    <a:graphicFrameLocks noChangeAspect="1"/>
                  </wp:cNvGraphicFramePr>
                  <a:graphic>
                    <a:graphicData uri="http://schemas.openxmlformats.org/drawingml/2006/picture">
                      <pic:pic>
                        <pic:nvPicPr>
                          <pic:cNvPr id="0" name="그림3_파업_이중차분.png"/>
                          <pic:cNvPicPr/>
                        </pic:nvPicPr>
                        <pic:blipFill>
                          <a:blip r:embed="rId11"/>
                          <a:stretch>
                            <a:fillRect/>
                          </a:stretch>
                        </pic:blipFill>
                        <pic:spPr>
                          <a:xfrm>
                            <a:off x="0" y="0"/>
                            <a:ext cx="3780000" cy="1769741"/>
                          </a:xfrm>
                          <a:prstGeom prst="rect"/>
                        </pic:spPr>
                      </pic:pic>
                    </a:graphicData>
                  </a:graphic>
                </wp:inline>
              </w:drawing>
            </w:r>
          </w:p>
          <w:p>
            <w:pPr>
              <w:spacing w:before="0" w:after="60"/>
            </w:pPr>
            <w:r>
              <w:rPr>
                <w:rFonts w:ascii="맑은 고딕" w:hAnsi="맑은 고딕" w:eastAsia="맑은 고딕"/>
                <w:b w:val="0"/>
                <w:color w:val="444444"/>
                <w:sz w:val="16"/>
              </w:rPr>
              <w:t>그림 3. 2026-01 시내버스 파업(외생 충격 하의 반응). 지하철 증회·무료 셔틀 등 동시 조치가 있어 인과 효과로 단정하지 않는다.</w:t>
            </w:r>
          </w:p>
          <w:p>
            <w:pPr>
              <w:spacing w:before="0" w:after="20"/>
            </w:pPr>
            <w:r>
              <w:rPr>
                <w:rFonts w:ascii="맑은 고딕" w:hAnsi="맑은 고딕" w:eastAsia="맑은 고딕"/>
                <w:b/>
                <w:sz w:val="18"/>
              </w:rPr>
              <w:t>(2) 공간-시간 불일치: 서울시 기준 사각지대가 아닌데, 특정 시간엔 사각지대.</w:t>
            </w:r>
            <w:r>
              <w:rPr>
                <w:rFonts w:ascii="맑은 고딕" w:hAnsi="맑은 고딕" w:eastAsia="맑은 고딕"/>
                <w:b w:val="0"/>
                <w:sz w:val="18"/>
              </w:rPr>
              <w:t xml:space="preserve"> 800m 기준 양호 357개 동 중 </w:t>
            </w:r>
            <w:r>
              <w:rPr>
                <w:rFonts w:ascii="맑은 고딕" w:hAnsi="맑은 고딕" w:eastAsia="맑은 고딕"/>
                <w:b/>
                <w:sz w:val="18"/>
              </w:rPr>
              <w:t>95개 동(26.6%)</w:t>
            </w:r>
            <w:r>
              <w:rPr>
                <w:rFonts w:ascii="맑은 고딕" w:hAnsi="맑은 고딕" w:eastAsia="맑은 고딕"/>
                <w:b w:val="0"/>
                <w:sz w:val="18"/>
              </w:rPr>
              <w:t xml:space="preserve">에 시간 사각지대 셀이 있고(민감도 11~37%), 사각지대 셀 출발 통행의 </w:t>
            </w:r>
            <w:r>
              <w:rPr>
                <w:rFonts w:ascii="맑은 고딕" w:hAnsi="맑은 고딕" w:eastAsia="맑은 고딕"/>
                <w:b/>
                <w:sz w:val="18"/>
              </w:rPr>
              <w:t>57%</w:t>
            </w:r>
            <w:r>
              <w:rPr>
                <w:rFonts w:ascii="맑은 고딕" w:hAnsi="맑은 고딕" w:eastAsia="맑은 고딕"/>
                <w:b w:val="0"/>
                <w:sz w:val="18"/>
              </w:rPr>
              <w:t>가 이 동들에서 나온다(그림 1). 그중 54개 동은 일부 시간대에만 낮은 '시간형', 41개 동은 하루 대부분 낮은 '종일 저빈도형'이다. 시간 사각지대는 그 시간대 서울 동 순위로 정한 상대 개념이다. → 공간 기준 전수조사만으로는 이 동들이 조사에서 빠진다.</w:t>
            </w:r>
          </w:p>
          <w:p>
            <w:pPr>
              <w:spacing w:before="0" w:after="20"/>
            </w:pPr>
            <w:r>
              <w:rPr>
                <w:rFonts w:ascii="맑은 고딕" w:hAnsi="맑은 고딕" w:eastAsia="맑은 고딕"/>
                <w:b/>
                <w:sz w:val="18"/>
              </w:rPr>
              <w:t>(3) 탄소: 연관 배출은 심야·새벽에서 식별된다.</w:t>
            </w:r>
            <w:r>
              <w:rPr>
                <w:rFonts w:ascii="맑은 고딕" w:hAnsi="맑은 고딕" w:eastAsia="맑은 고딕"/>
                <w:b w:val="0"/>
                <w:sz w:val="18"/>
              </w:rPr>
              <w:t xml:space="preserve"> 공급을 p75로 올리는 반사실에 시간대별 계수를 적용하면, 연관 추가 배출은 심야·새벽(22–07시) </w:t>
            </w:r>
            <w:r>
              <w:rPr>
                <w:rFonts w:ascii="맑은 고딕" w:hAnsi="맑은 고딕" w:eastAsia="맑은 고딕"/>
                <w:b/>
                <w:sz w:val="18"/>
              </w:rPr>
              <w:t>연 6,679 tCO₂</w:t>
            </w:r>
            <w:r>
              <w:rPr>
                <w:rFonts w:ascii="맑은 고딕" w:hAnsi="맑은 고딕" w:eastAsia="맑은 고딕"/>
                <w:b w:val="0"/>
                <w:sz w:val="18"/>
              </w:rPr>
              <w:t xml:space="preserve">다(95% 2,120~11,289 t, 재차·우회 시나리오 포함 1,739~13,171 t). 나누면 심야 3,207 t(95% 1,933~4,593)는 뚜렷하지만, 새벽 3,472 t(-584~7,438)는 구간이 0을 포함한다. 주간 계수를 그대로 넣으면 주간 값은 -27,942 t(95% -48,596~-9,401)로 음(−)이 된다. 공급이 늘면 차가 는다는 뜻이라 이론과 반대 부호이므로, 연관 근거로 쓰지 않고 합산하지 않았다. 시간대 공통 계수를 가정하면 2.8만 t(93%가 심야 밖)지만, 이는 낮 시간 계수가 밤과 같다고 놓은 </w:t>
            </w:r>
            <w:r>
              <w:rPr>
                <w:rFonts w:ascii="맑은 고딕" w:hAnsi="맑은 고딕" w:eastAsia="맑은 고딕"/>
                <w:b/>
                <w:sz w:val="18"/>
              </w:rPr>
              <w:t>상한 시나리오</w:t>
            </w:r>
            <w:r>
              <w:rPr>
                <w:rFonts w:ascii="맑은 고딕" w:hAnsi="맑은 고딕" w:eastAsia="맑은 고딕"/>
                <w:b w:val="0"/>
                <w:sz w:val="18"/>
              </w:rPr>
              <w:t>다. 심야·새벽 값은 그 24%에 해당한다(그림 4). → 탄소 근거가 있는 곳은 새벽·심야이며, 서울시 새벽·심야 자율주행버스 계획의 시간대와 겹친다.</w:t>
            </w:r>
          </w:p>
          <w:p>
            <w:pPr>
              <w:spacing w:after="0"/>
              <w:jc w:val="center"/>
            </w:pPr>
            <w:r>
              <w:drawing>
                <wp:inline xmlns:a="http://schemas.openxmlformats.org/drawingml/2006/main" xmlns:pic="http://schemas.openxmlformats.org/drawingml/2006/picture">
                  <wp:extent cx="4031999" cy="2092636"/>
                  <wp:docPr id="4" name="Picture 4"/>
                  <wp:cNvGraphicFramePr>
                    <a:graphicFrameLocks noChangeAspect="1"/>
                  </wp:cNvGraphicFramePr>
                  <a:graphic>
                    <a:graphicData uri="http://schemas.openxmlformats.org/drawingml/2006/picture">
                      <pic:pic>
                        <pic:nvPicPr>
                          <pic:cNvPr id="0" name="그림4_구간별_추가배출.png"/>
                          <pic:cNvPicPr/>
                        </pic:nvPicPr>
                        <pic:blipFill>
                          <a:blip r:embed="rId12"/>
                          <a:stretch>
                            <a:fillRect/>
                          </a:stretch>
                        </pic:blipFill>
                        <pic:spPr>
                          <a:xfrm>
                            <a:off x="0" y="0"/>
                            <a:ext cx="4031999" cy="2092636"/>
                          </a:xfrm>
                          <a:prstGeom prst="rect"/>
                        </pic:spPr>
                      </pic:pic>
                    </a:graphicData>
                  </a:graphic>
                </wp:inline>
              </w:drawing>
            </w:r>
          </w:p>
          <w:p>
            <w:pPr>
              <w:spacing w:before="0" w:after="60"/>
            </w:pPr>
            <w:r>
              <w:rPr>
                <w:rFonts w:ascii="맑은 고딕" w:hAnsi="맑은 고딕" w:eastAsia="맑은 고딕"/>
                <w:b w:val="0"/>
                <w:color w:val="444444"/>
                <w:sz w:val="16"/>
              </w:rPr>
              <w:t>그림 4. 시간 구간별 연관 추가 배출. 막대 = 시간대별 계수(오차막대: 부트스트랩 95%), 점선 = 시간대 공통 계수 가정(상한 시나리오).</w:t>
            </w:r>
          </w:p>
          <w:p>
            <w:pPr>
              <w:spacing w:before="0" w:after="20"/>
            </w:pPr>
            <w:r>
              <w:rPr>
                <w:rFonts w:ascii="맑은 고딕" w:hAnsi="맑은 고딕" w:eastAsia="맑은 고딕"/>
                <w:b/>
                <w:sz w:val="18"/>
              </w:rPr>
              <w:t>(4) 부담은 고령 비율이 높은 동으로 기운다.</w:t>
            </w:r>
            <w:r>
              <w:rPr>
                <w:rFonts w:ascii="맑은 고딕" w:hAnsi="맑은 고딕" w:eastAsia="맑은 고딕"/>
                <w:b w:val="0"/>
                <w:sz w:val="18"/>
              </w:rPr>
              <w:t xml:space="preserve"> 시간 사각지대 셀의 생활인구(인원×시간)를 65세 이상 비율 순으로 쌓으면 집중지수 </w:t>
            </w:r>
            <w:r>
              <w:rPr>
                <w:rFonts w:ascii="맑은 고딕" w:hAnsi="맑은 고딕" w:eastAsia="맑은 고딕"/>
                <w:b/>
                <w:sz w:val="18"/>
              </w:rPr>
              <w:t>0.212</w:t>
            </w:r>
            <w:r>
              <w:rPr>
                <w:rFonts w:ascii="맑은 고딕" w:hAnsi="맑은 고딕" w:eastAsia="맑은 고딕"/>
                <w:b w:val="0"/>
                <w:sz w:val="18"/>
              </w:rPr>
              <w:t>(95% 0.094~0.325)로 고령 비율이 높은 동 쪽에 몰린다. 65세 이상 비율 상위 20% 동의 주민 1인당 노출은 하위 20% 동의 2.8배(1.4~5.8배)다(그림 5, 생태학적 지표). → 보강 우선순위에 고령 비율을 함께 써야 한다.</w:t>
            </w:r>
          </w:p>
          <w:p>
            <w:pPr>
              <w:spacing w:after="0"/>
              <w:jc w:val="center"/>
            </w:pPr>
            <w:r>
              <w:drawing>
                <wp:inline xmlns:a="http://schemas.openxmlformats.org/drawingml/2006/main" xmlns:pic="http://schemas.openxmlformats.org/drawingml/2006/picture">
                  <wp:extent cx="3780000" cy="1799576"/>
                  <wp:docPr id="5" name="Picture 5"/>
                  <wp:cNvGraphicFramePr>
                    <a:graphicFrameLocks noChangeAspect="1"/>
                  </wp:cNvGraphicFramePr>
                  <a:graphic>
                    <a:graphicData uri="http://schemas.openxmlformats.org/drawingml/2006/picture">
                      <pic:pic>
                        <pic:nvPicPr>
                          <pic:cNvPr id="0" name="그림5_공백노출_집중곡선.png"/>
                          <pic:cNvPicPr/>
                        </pic:nvPicPr>
                        <pic:blipFill>
                          <a:blip r:embed="rId13"/>
                          <a:stretch>
                            <a:fillRect/>
                          </a:stretch>
                        </pic:blipFill>
                        <pic:spPr>
                          <a:xfrm>
                            <a:off x="0" y="0"/>
                            <a:ext cx="3780000" cy="1799576"/>
                          </a:xfrm>
                          <a:prstGeom prst="rect"/>
                        </pic:spPr>
                      </pic:pic>
                    </a:graphicData>
                  </a:graphic>
                </wp:inline>
              </w:drawing>
            </w:r>
          </w:p>
          <w:p>
            <w:pPr>
              <w:spacing w:before="0" w:after="60"/>
            </w:pPr>
            <w:r>
              <w:rPr>
                <w:rFonts w:ascii="맑은 고딕" w:hAnsi="맑은 고딕" w:eastAsia="맑은 고딕"/>
                <w:b w:val="0"/>
                <w:color w:val="444444"/>
                <w:sz w:val="16"/>
              </w:rPr>
              <w:t>그림 5. 65세 이상 비율 순 공백 노출 집중곡선. 행정동 단위 지표로 개인의 연령·취약성을 뜻하지 않는다.</w:t>
            </w:r>
          </w:p>
          <w:p>
            <w:pPr>
              <w:spacing w:before="0" w:after="20"/>
            </w:pPr>
            <w:r>
              <w:rPr>
                <w:rFonts w:ascii="맑은 고딕" w:hAnsi="맑은 고딕" w:eastAsia="맑은 고딕"/>
                <w:b/>
                <w:sz w:val="18"/>
              </w:rPr>
              <w:t>(5) 어디에, 언제, 무엇을: 증회는 탄소로 정당화되지 않는다.</w:t>
            </w:r>
            <w:r>
              <w:rPr>
                <w:rFonts w:ascii="맑은 고딕" w:hAnsi="맑은 고딕" w:eastAsia="맑은 고딕"/>
                <w:b w:val="0"/>
                <w:sz w:val="18"/>
              </w:rPr>
              <w:t xml:space="preserve"> 사각지대 1,312개 셀을 p75까지 CNG 버스로 증회하면 회피 배출(공통 계수 1.07만 t, 시간대별 계수 0.17만 t)보다 버스 배출 19.7만 t가 커서 </w:t>
            </w:r>
            <w:r>
              <w:rPr>
                <w:rFonts w:ascii="맑은 고딕" w:hAnsi="맑은 고딕" w:eastAsia="맑은 고딕"/>
                <w:b/>
                <w:sz w:val="18"/>
              </w:rPr>
              <w:t>1,312개 셀 전부 순배출이 늘어난다</w:t>
            </w:r>
            <w:r>
              <w:rPr>
                <w:rFonts w:ascii="맑은 고딕" w:hAnsi="맑은 고딕" w:eastAsia="맑은 고딕"/>
                <w:b w:val="0"/>
                <w:sz w:val="18"/>
              </w:rPr>
              <w:t xml:space="preserve">. 승용차 계수를 낮게 잡은 탓인지 점검했다. 계수를 3배(376 g/km, 휘발유 연비 5.6 km/L 수준)로 올리고 재차인원을 1.2로 낮춰도 순감축 셀은 공통 계수 1개, 시간대별 계수 6개다. 2배·재차 1.2에서는 시간대별 계수 기준 3개다. 셀이 순감축이 되는 데 필요한 승용차 계수 배수는 셀 중앙값으로 26배다(04c_CNG_민감도.csv). 승합 DRT(가정: 신차 평균 125.2 g/km)는 54개 셀에서 순감축이다. 전기버스는 전력 소비가 0.09 kWh/km 이하여야 순감축이다(심야·새벽 셀 중앙값; 국내 실측 전력 소비 원문은 미확보). </w:t>
            </w:r>
            <w:r>
              <w:rPr>
                <w:rFonts w:ascii="맑은 고딕" w:hAnsi="맑은 고딕" w:eastAsia="맑은 고딕"/>
                <w:b/>
                <w:sz w:val="18"/>
              </w:rPr>
              <w:t>운행 재배분(시뮬레이션):</w:t>
            </w:r>
            <w:r>
              <w:rPr>
                <w:rFonts w:ascii="맑은 고딕" w:hAnsi="맑은 고딕" w:eastAsia="맑은 고딕"/>
                <w:b w:val="0"/>
                <w:sz w:val="18"/>
              </w:rPr>
              <w:t xml:space="preserve"> 같은 자치구에서 공급이 p75를 넘는 낮 비첨두·저녁 동·시간대의 운행 일부(일 20% 이내, 첨두 07–09·16–19와 심야·새벽 운행은 빼지 않음)를 옮긴다. 기증 셀의 차량 증가분을 차감한 순값으로 계산했다. 버스km가 늘지 않아 264개 셀이 순감축(0개 음수), 전체 연 1,460 t, 상위 20셀 </w:t>
            </w:r>
            <w:r>
              <w:rPr>
                <w:rFonts w:ascii="맑은 고딕" w:hAnsi="맑은 고딕" w:eastAsia="맑은 고딕"/>
                <w:b/>
                <w:sz w:val="18"/>
              </w:rPr>
              <w:t>512 t</w:t>
            </w:r>
            <w:r>
              <w:rPr>
                <w:rFonts w:ascii="맑은 고딕" w:hAnsi="맑은 고딕" w:eastAsia="맑은 고딕"/>
                <w:b w:val="0"/>
                <w:sz w:val="18"/>
              </w:rPr>
              <w:t>(420~598)다. 상위 20셀 중 15개가 평일 새벽 05–07시, 70%가 공간 양호 동이다. '운행 1회'는 버스 노선 1회가 동 하나를 지나는 것이며, 상위 20셀에서 연 96.8만 회를 옮기고 1회당 0.53 kg 순감축이다. 이 값은 연관 계수를 쓴 시뮬레이션이며 실제 효과가 아니다.</w:t>
            </w:r>
          </w:p>
        </w:tc>
      </w:tr>
      <w:tr>
        <w:tc>
          <w:tcPr>
            <w:tcW w:type="dxa" w:w="1361"/>
            <w:shd w:val="clear" w:color="auto" w:fill="F2F2F2"/>
            <w:vAlign w:val="center"/>
          </w:tcPr>
          <w:p>
            <w:pPr>
              <w:jc w:val="center"/>
            </w:pPr>
            <w:r/>
            <w:r>
              <w:rPr>
                <w:rFonts w:ascii="맑은 고딕" w:hAnsi="맑은 고딕" w:eastAsia="맑은 고딕"/>
                <w:b w:val="0"/>
                <w:sz w:val="20"/>
              </w:rPr>
              <w:t>정책제안</w:t>
              <w:br/>
              <w:t>및</w:t>
              <w:br/>
              <w:t>기대효과</w:t>
            </w:r>
          </w:p>
        </w:tc>
        <w:tc>
          <w:tcPr>
            <w:tcW w:type="dxa" w:w="8277"/>
          </w:tcPr>
          <w:p>
            <w:pPr>
              <w:spacing w:after="20"/>
            </w:pPr>
            <w:r/>
            <w:r>
              <w:rPr>
                <w:rFonts w:ascii="맑은 고딕" w:hAnsi="맑은 고딕" w:eastAsia="맑은 고딕"/>
                <w:b/>
                <w:sz w:val="20"/>
              </w:rPr>
              <w:t>세 가지 제안 — 지도에 시간 축을 더하고, 차량을 늘리지 않고 옮기고, 저수요 시간은 작게.</w:t>
            </w:r>
          </w:p>
          <w:tbl>
            <w:tblPr>
              <w:tblW w:w="7994" w:type="dxa"/>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930"/>
              <w:gridCol w:w="2299"/>
              <w:gridCol w:w="2354"/>
              <w:gridCol w:w="2409"/>
            </w:tblGrid>
            <w:tr>
              <w:tc>
                <w:tcPr>
                  <w:tcW w:type="dxa" w:w="931"/>
                  <w:shd w:val="clear" w:color="auto" w:fill="EDEDED"/>
                </w:tcPr>
                <w:p>
                  <w:pPr>
                    <w:spacing w:after="0"/>
                  </w:pPr>
                  <w:r>
                    <w:rPr>
                      <w:b/>
                    </w:rPr>
                  </w:r>
                </w:p>
              </w:tc>
              <w:tc>
                <w:tcPr>
                  <w:tcW w:type="dxa" w:w="2300"/>
                  <w:shd w:val="clear" w:color="auto" w:fill="EDEDED"/>
                </w:tcPr>
                <w:p>
                  <w:pPr>
                    <w:spacing w:after="0"/>
                  </w:pPr>
                  <w:r>
                    <w:rPr>
                      <w:b/>
                    </w:rPr>
                  </w:r>
                  <w:r>
                    <w:rPr>
                      <w:rFonts w:ascii="맑은 고딕" w:hAnsi="맑은 고딕" w:eastAsia="맑은 고딕"/>
                      <w:b w:val="0"/>
                      <w:sz w:val="15"/>
                    </w:rPr>
                    <w:t>P1. ART 조사에 시간 축(T-ART)</w:t>
                  </w:r>
                </w:p>
              </w:tc>
              <w:tc>
                <w:tcPr>
                  <w:tcW w:type="dxa" w:w="2354"/>
                  <w:shd w:val="clear" w:color="auto" w:fill="EDEDED"/>
                </w:tcPr>
                <w:p>
                  <w:pPr>
                    <w:spacing w:after="0"/>
                  </w:pPr>
                  <w:r>
                    <w:rPr>
                      <w:b/>
                    </w:rPr>
                  </w:r>
                  <w:r>
                    <w:rPr>
                      <w:rFonts w:ascii="맑은 고딕" w:hAnsi="맑은 고딕" w:eastAsia="맑은 고딕"/>
                      <w:b w:val="0"/>
                      <w:sz w:val="15"/>
                    </w:rPr>
                    <w:t>P2. 운행 총량 그대로 재배분</w:t>
                  </w:r>
                </w:p>
              </w:tc>
              <w:tc>
                <w:tcPr>
                  <w:tcW w:type="dxa" w:w="2409"/>
                  <w:shd w:val="clear" w:color="auto" w:fill="EDEDED"/>
                </w:tcPr>
                <w:p>
                  <w:pPr>
                    <w:spacing w:after="0"/>
                  </w:pPr>
                  <w:r>
                    <w:rPr>
                      <w:b/>
                    </w:rPr>
                  </w:r>
                  <w:r>
                    <w:rPr>
                      <w:rFonts w:ascii="맑은 고딕" w:hAnsi="맑은 고딕" w:eastAsia="맑은 고딕"/>
                      <w:b w:val="0"/>
                      <w:sz w:val="15"/>
                    </w:rPr>
                    <w:t>P3. 저수요 시간대는 소형·저배출로</w:t>
                  </w:r>
                </w:p>
              </w:tc>
            </w:tr>
            <w:tr>
              <w:tc>
                <w:tcPr>
                  <w:tcW w:type="dxa" w:w="931"/>
                </w:tcPr>
                <w:p>
                  <w:pPr>
                    <w:spacing w:after="0"/>
                  </w:pPr>
                  <w:r/>
                  <w:r>
                    <w:rPr>
                      <w:rFonts w:ascii="맑은 고딕" w:hAnsi="맑은 고딕" w:eastAsia="맑은 고딕"/>
                      <w:b w:val="0"/>
                      <w:sz w:val="15"/>
                    </w:rPr>
                    <w:t>내용</w:t>
                  </w:r>
                </w:p>
              </w:tc>
              <w:tc>
                <w:tcPr>
                  <w:tcW w:type="dxa" w:w="2300"/>
                </w:tcPr>
                <w:p>
                  <w:pPr>
                    <w:spacing w:after="0"/>
                  </w:pPr>
                  <w:r/>
                  <w:r>
                    <w:rPr>
                      <w:rFonts w:ascii="맑은 고딕" w:hAnsi="맑은 고딕" w:eastAsia="맑은 고딕"/>
                      <w:b w:val="0"/>
                      <w:sz w:val="15"/>
                    </w:rPr>
                    <w:t>공간 양호 동도 시간대별 공급을 같은 시간대 동 순위로 표시</w:t>
                  </w:r>
                </w:p>
              </w:tc>
              <w:tc>
                <w:tcPr>
                  <w:tcW w:type="dxa" w:w="2354"/>
                </w:tcPr>
                <w:p>
                  <w:pPr>
                    <w:spacing w:after="0"/>
                  </w:pPr>
                  <w:r/>
                  <w:r>
                    <w:rPr>
                      <w:rFonts w:ascii="맑은 고딕" w:hAnsi="맑은 고딕" w:eastAsia="맑은 고딕"/>
                      <w:b w:val="0"/>
                      <w:sz w:val="15"/>
                    </w:rPr>
                    <w:t>같은 구 안 p75 초과 낮 비첨두·저녁 운행 일부를 새벽·심야 사각지대로(첨두·심야 운행은 유지)</w:t>
                  </w:r>
                </w:p>
              </w:tc>
              <w:tc>
                <w:tcPr>
                  <w:tcW w:type="dxa" w:w="2409"/>
                </w:tcPr>
                <w:p>
                  <w:pPr>
                    <w:spacing w:after="0"/>
                  </w:pPr>
                  <w:r/>
                  <w:r>
                    <w:rPr>
                      <w:rFonts w:ascii="맑은 고딕" w:hAnsi="맑은 고딕" w:eastAsia="맑은 고딕"/>
                      <w:b w:val="0"/>
                      <w:sz w:val="15"/>
                    </w:rPr>
                    <w:t>새벽·심야·주말 저수요 셀은 대형 CNG 증회 대신 DRT·새벽동행/심야 자율주행버스 후보로</w:t>
                  </w:r>
                </w:p>
              </w:tc>
            </w:tr>
            <w:tr>
              <w:tc>
                <w:tcPr>
                  <w:tcW w:type="dxa" w:w="931"/>
                </w:tcPr>
                <w:p>
                  <w:pPr>
                    <w:spacing w:after="0"/>
                  </w:pPr>
                  <w:r/>
                  <w:r>
                    <w:rPr>
                      <w:rFonts w:ascii="맑은 고딕" w:hAnsi="맑은 고딕" w:eastAsia="맑은 고딕"/>
                      <w:b w:val="0"/>
                      <w:sz w:val="15"/>
                    </w:rPr>
                    <w:t>결정 주체</w:t>
                  </w:r>
                </w:p>
              </w:tc>
              <w:tc>
                <w:tcPr>
                  <w:tcW w:type="dxa" w:w="2300"/>
                </w:tcPr>
                <w:p>
                  <w:pPr>
                    <w:spacing w:after="0"/>
                  </w:pPr>
                  <w:r/>
                  <w:r>
                    <w:rPr>
                      <w:rFonts w:ascii="맑은 고딕" w:hAnsi="맑은 고딕" w:eastAsia="맑은 고딕"/>
                      <w:b w:val="0"/>
                      <w:sz w:val="15"/>
                    </w:rPr>
                    <w:t>서울시 교통실(ART 전수조사)</w:t>
                  </w:r>
                </w:p>
              </w:tc>
              <w:tc>
                <w:tcPr>
                  <w:tcW w:type="dxa" w:w="2354"/>
                </w:tcPr>
                <w:p>
                  <w:pPr>
                    <w:spacing w:after="0"/>
                  </w:pPr>
                  <w:r/>
                  <w:r>
                    <w:rPr>
                      <w:rFonts w:ascii="맑은 고딕" w:hAnsi="맑은 고딕" w:eastAsia="맑은 고딕"/>
                      <w:b w:val="0"/>
                      <w:sz w:val="15"/>
                    </w:rPr>
                    <w:t>서울시 버스정책 부서·운수사(연례 노선·배차 조정)</w:t>
                  </w:r>
                </w:p>
              </w:tc>
              <w:tc>
                <w:tcPr>
                  <w:tcW w:type="dxa" w:w="2409"/>
                </w:tcPr>
                <w:p>
                  <w:pPr>
                    <w:spacing w:after="0"/>
                  </w:pPr>
                  <w:r/>
                  <w:r>
                    <w:rPr>
                      <w:rFonts w:ascii="맑은 고딕" w:hAnsi="맑은 고딕" w:eastAsia="맑은 고딕"/>
                      <w:b w:val="0"/>
                      <w:sz w:val="15"/>
                    </w:rPr>
                    <w:t>서울시 교통실·자치구</w:t>
                  </w:r>
                </w:p>
              </w:tc>
            </w:tr>
            <w:tr>
              <w:tc>
                <w:tcPr>
                  <w:tcW w:type="dxa" w:w="931"/>
                </w:tcPr>
                <w:p>
                  <w:pPr>
                    <w:spacing w:after="0"/>
                  </w:pPr>
                  <w:r/>
                  <w:r>
                    <w:rPr>
                      <w:rFonts w:ascii="맑은 고딕" w:hAnsi="맑은 고딕" w:eastAsia="맑은 고딕"/>
                      <w:b w:val="0"/>
                      <w:sz w:val="15"/>
                    </w:rPr>
                    <w:t>자원</w:t>
                  </w:r>
                </w:p>
              </w:tc>
              <w:tc>
                <w:tcPr>
                  <w:tcW w:type="dxa" w:w="2300"/>
                </w:tcPr>
                <w:p>
                  <w:pPr>
                    <w:spacing w:after="0"/>
                  </w:pPr>
                  <w:r/>
                  <w:r>
                    <w:rPr>
                      <w:rFonts w:ascii="맑은 고딕" w:hAnsi="맑은 고딕" w:eastAsia="맑은 고딕"/>
                      <w:b w:val="0"/>
                      <w:sz w:val="15"/>
                    </w:rPr>
                    <w:t>분석 비용(공개 데이터, 코드 공개)</w:t>
                  </w:r>
                </w:p>
              </w:tc>
              <w:tc>
                <w:tcPr>
                  <w:tcW w:type="dxa" w:w="2354"/>
                </w:tcPr>
                <w:p>
                  <w:pPr>
                    <w:spacing w:after="0"/>
                  </w:pPr>
                  <w:r/>
                  <w:r>
                    <w:rPr>
                      <w:rFonts w:ascii="맑은 고딕" w:hAnsi="맑은 고딕" w:eastAsia="맑은 고딕"/>
                      <w:b w:val="0"/>
                      <w:sz w:val="15"/>
                    </w:rPr>
                    <w:t>추가 차량·버스km 없음(새벽 근무 조정 필요)</w:t>
                  </w:r>
                </w:p>
              </w:tc>
              <w:tc>
                <w:tcPr>
                  <w:tcW w:type="dxa" w:w="2409"/>
                </w:tcPr>
                <w:p>
                  <w:pPr>
                    <w:spacing w:after="0"/>
                  </w:pPr>
                  <w:r/>
                  <w:r>
                    <w:rPr>
                      <w:rFonts w:ascii="맑은 고딕" w:hAnsi="맑은 고딕" w:eastAsia="맑은 고딕"/>
                      <w:b w:val="0"/>
                      <w:sz w:val="15"/>
                    </w:rPr>
                    <w:t>DRT 차량·운영(비용 근거 미확보)</w:t>
                  </w:r>
                </w:p>
              </w:tc>
            </w:tr>
            <w:tr>
              <w:tc>
                <w:tcPr>
                  <w:tcW w:type="dxa" w:w="931"/>
                </w:tcPr>
                <w:p>
                  <w:pPr>
                    <w:spacing w:after="0"/>
                  </w:pPr>
                  <w:r/>
                  <w:r>
                    <w:rPr>
                      <w:rFonts w:ascii="맑은 고딕" w:hAnsi="맑은 고딕" w:eastAsia="맑은 고딕"/>
                      <w:b w:val="0"/>
                      <w:sz w:val="15"/>
                    </w:rPr>
                    <w:t>근거 숫자</w:t>
                  </w:r>
                </w:p>
              </w:tc>
              <w:tc>
                <w:tcPr>
                  <w:tcW w:type="dxa" w:w="2300"/>
                </w:tcPr>
                <w:p>
                  <w:pPr>
                    <w:spacing w:after="0"/>
                  </w:pPr>
                  <w:r/>
                  <w:r>
                    <w:rPr>
                      <w:rFonts w:ascii="맑은 고딕" w:hAnsi="맑은 고딕" w:eastAsia="맑은 고딕"/>
                      <w:b w:val="0"/>
                      <w:sz w:val="15"/>
                    </w:rPr>
                    <w:t>양호 357동 중 95동이 시간 사각지대</w:t>
                  </w:r>
                </w:p>
              </w:tc>
              <w:tc>
                <w:tcPr>
                  <w:tcW w:type="dxa" w:w="2354"/>
                </w:tcPr>
                <w:p>
                  <w:pPr>
                    <w:spacing w:after="0"/>
                  </w:pPr>
                  <w:r/>
                  <w:r>
                    <w:rPr>
                      <w:rFonts w:ascii="맑은 고딕" w:hAnsi="맑은 고딕" w:eastAsia="맑은 고딕"/>
                      <w:b w:val="0"/>
                      <w:sz w:val="15"/>
                    </w:rPr>
                    <w:t>상위 20셀 연 512 t, 1회당 0.53 kg(시뮬레이션)</w:t>
                  </w:r>
                </w:p>
              </w:tc>
              <w:tc>
                <w:tcPr>
                  <w:tcW w:type="dxa" w:w="2409"/>
                </w:tcPr>
                <w:p>
                  <w:pPr>
                    <w:spacing w:after="0"/>
                  </w:pPr>
                  <w:r/>
                  <w:r>
                    <w:rPr>
                      <w:rFonts w:ascii="맑은 고딕" w:hAnsi="맑은 고딕" w:eastAsia="맑은 고딕"/>
                      <w:b w:val="0"/>
                      <w:sz w:val="15"/>
                    </w:rPr>
                    <w:t>CNG 증회 1,312셀 전부 순배출↑(계수 3배에도 유지), DRT 54셀 순감축</w:t>
                  </w:r>
                </w:p>
              </w:tc>
            </w:tr>
            <w:tr>
              <w:tc>
                <w:tcPr>
                  <w:tcW w:type="dxa" w:w="931"/>
                </w:tcPr>
                <w:p>
                  <w:pPr>
                    <w:spacing w:after="0"/>
                  </w:pPr>
                  <w:r/>
                  <w:r>
                    <w:rPr>
                      <w:rFonts w:ascii="맑은 고딕" w:hAnsi="맑은 고딕" w:eastAsia="맑은 고딕"/>
                      <w:b w:val="0"/>
                      <w:sz w:val="15"/>
                    </w:rPr>
                    <w:t>KPI</w:t>
                  </w:r>
                </w:p>
              </w:tc>
              <w:tc>
                <w:tcPr>
                  <w:tcW w:type="dxa" w:w="2300"/>
                </w:tcPr>
                <w:p>
                  <w:pPr>
                    <w:spacing w:after="0"/>
                  </w:pPr>
                  <w:r/>
                  <w:r>
                    <w:rPr>
                      <w:rFonts w:ascii="맑은 고딕" w:hAnsi="맑은 고딕" w:eastAsia="맑은 고딕"/>
                      <w:b w:val="0"/>
                      <w:sz w:val="15"/>
                    </w:rPr>
                    <w:t>공간 양호·시간 사각지대 동 수</w:t>
                  </w:r>
                </w:p>
              </w:tc>
              <w:tc>
                <w:tcPr>
                  <w:tcW w:type="dxa" w:w="2354"/>
                </w:tcPr>
                <w:p>
                  <w:pPr>
                    <w:spacing w:after="0"/>
                  </w:pPr>
                  <w:r/>
                  <w:r>
                    <w:rPr>
                      <w:rFonts w:ascii="맑은 고딕" w:hAnsi="맑은 고딕" w:eastAsia="맑은 고딕"/>
                      <w:b w:val="0"/>
                      <w:sz w:val="15"/>
                    </w:rPr>
                    <w:t>이동 운행 1회당 순감축, 수혜 통행</w:t>
                  </w:r>
                </w:p>
              </w:tc>
              <w:tc>
                <w:tcPr>
                  <w:tcW w:type="dxa" w:w="2409"/>
                </w:tcPr>
                <w:p>
                  <w:pPr>
                    <w:spacing w:after="0"/>
                  </w:pPr>
                  <w:r/>
                  <w:r>
                    <w:rPr>
                      <w:rFonts w:ascii="맑은 고딕" w:hAnsi="맑은 고딕" w:eastAsia="맑은 고딕"/>
                      <w:b w:val="0"/>
                      <w:sz w:val="15"/>
                    </w:rPr>
                    <w:t>셀 순감축 부호 전환, 고령 상위 동 공백 노출</w:t>
                  </w:r>
                </w:p>
              </w:tc>
            </w:tr>
          </w:tbl>
          <w:p>
            <w:pPr>
              <w:spacing w:after="40" w:line="80" w:lineRule="exact"/>
            </w:pPr>
          </w:p>
          <w:tbl>
            <w:tblPr>
              <w:tblW w:w="7994" w:type="dxa"/>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095"/>
              <w:gridCol w:w="1971"/>
              <w:gridCol w:w="1423"/>
              <w:gridCol w:w="876"/>
              <w:gridCol w:w="876"/>
              <w:gridCol w:w="1752"/>
            </w:tblGrid>
            <w:tr>
              <w:tc>
                <w:tcPr>
                  <w:tcW w:type="dxa" w:w="1095"/>
                  <w:shd w:val="clear" w:color="auto" w:fill="EDEDED"/>
                </w:tcPr>
                <w:p>
                  <w:pPr>
                    <w:spacing w:after="0"/>
                  </w:pPr>
                  <w:r>
                    <w:rPr>
                      <w:b/>
                    </w:rPr>
                  </w:r>
                  <w:r>
                    <w:rPr>
                      <w:rFonts w:ascii="맑은 고딕" w:hAnsi="맑은 고딕" w:eastAsia="맑은 고딕"/>
                      <w:b w:val="0"/>
                      <w:sz w:val="15"/>
                    </w:rPr>
                    <w:t>우선순위(P2)</w:t>
                  </w:r>
                </w:p>
              </w:tc>
              <w:tc>
                <w:tcPr>
                  <w:tcW w:type="dxa" w:w="1971"/>
                  <w:shd w:val="clear" w:color="auto" w:fill="EDEDED"/>
                </w:tcPr>
                <w:p>
                  <w:pPr>
                    <w:spacing w:after="0"/>
                  </w:pPr>
                  <w:r>
                    <w:rPr>
                      <w:b/>
                    </w:rPr>
                  </w:r>
                  <w:r>
                    <w:rPr>
                      <w:rFonts w:ascii="맑은 고딕" w:hAnsi="맑은 고딕" w:eastAsia="맑은 고딕"/>
                      <w:b w:val="0"/>
                      <w:sz w:val="15"/>
                    </w:rPr>
                    <w:t>동</w:t>
                  </w:r>
                </w:p>
              </w:tc>
              <w:tc>
                <w:tcPr>
                  <w:tcW w:type="dxa" w:w="1424"/>
                  <w:shd w:val="clear" w:color="auto" w:fill="EDEDED"/>
                </w:tcPr>
                <w:p>
                  <w:pPr>
                    <w:spacing w:after="0"/>
                  </w:pPr>
                  <w:r>
                    <w:rPr>
                      <w:b/>
                    </w:rPr>
                  </w:r>
                  <w:r>
                    <w:rPr>
                      <w:rFonts w:ascii="맑은 고딕" w:hAnsi="맑은 고딕" w:eastAsia="맑은 고딕"/>
                      <w:b w:val="0"/>
                      <w:sz w:val="15"/>
                    </w:rPr>
                    <w:t>요일·구간</w:t>
                  </w:r>
                </w:p>
              </w:tc>
              <w:tc>
                <w:tcPr>
                  <w:tcW w:type="dxa" w:w="876"/>
                  <w:shd w:val="clear" w:color="auto" w:fill="EDEDED"/>
                </w:tcPr>
                <w:p>
                  <w:pPr>
                    <w:spacing w:after="0"/>
                  </w:pPr>
                  <w:r>
                    <w:rPr>
                      <w:b/>
                    </w:rPr>
                  </w:r>
                  <w:r>
                    <w:rPr>
                      <w:rFonts w:ascii="맑은 고딕" w:hAnsi="맑은 고딕" w:eastAsia="맑은 고딕"/>
                      <w:b w:val="0"/>
                      <w:sz w:val="15"/>
                    </w:rPr>
                    <w:t>공간 양호</w:t>
                  </w:r>
                </w:p>
              </w:tc>
              <w:tc>
                <w:tcPr>
                  <w:tcW w:type="dxa" w:w="876"/>
                  <w:shd w:val="clear" w:color="auto" w:fill="EDEDED"/>
                </w:tcPr>
                <w:p>
                  <w:pPr>
                    <w:spacing w:after="0"/>
                  </w:pPr>
                  <w:r>
                    <w:rPr>
                      <w:b/>
                    </w:rPr>
                  </w:r>
                  <w:r>
                    <w:rPr>
                      <w:rFonts w:ascii="맑은 고딕" w:hAnsi="맑은 고딕" w:eastAsia="맑은 고딕"/>
                      <w:b w:val="0"/>
                      <w:sz w:val="15"/>
                    </w:rPr>
                    <w:t>65+ 비율</w:t>
                  </w:r>
                </w:p>
              </w:tc>
              <w:tc>
                <w:tcPr>
                  <w:tcW w:type="dxa" w:w="1752"/>
                  <w:shd w:val="clear" w:color="auto" w:fill="EDEDED"/>
                </w:tcPr>
                <w:p>
                  <w:pPr>
                    <w:spacing w:after="0"/>
                  </w:pPr>
                  <w:r>
                    <w:rPr>
                      <w:b/>
                    </w:rPr>
                  </w:r>
                  <w:r>
                    <w:rPr>
                      <w:rFonts w:ascii="맑은 고딕" w:hAnsi="맑은 고딕" w:eastAsia="맑은 고딕"/>
                      <w:b w:val="0"/>
                      <w:sz w:val="15"/>
                    </w:rPr>
                    <w:t>순감축 t/년(범위)</w:t>
                  </w:r>
                </w:p>
              </w:tc>
            </w:tr>
            <w:tr>
              <w:tc>
                <w:tcPr>
                  <w:tcW w:type="dxa" w:w="1095"/>
                </w:tcPr>
                <w:p>
                  <w:pPr>
                    <w:spacing w:after="0"/>
                  </w:pPr>
                  <w:r/>
                  <w:r>
                    <w:rPr>
                      <w:rFonts w:ascii="맑은 고딕" w:hAnsi="맑은 고딕" w:eastAsia="맑은 고딕"/>
                      <w:b w:val="0"/>
                      <w:sz w:val="15"/>
                    </w:rPr>
                    <w:t>1</w:t>
                  </w:r>
                </w:p>
              </w:tc>
              <w:tc>
                <w:tcPr>
                  <w:tcW w:type="dxa" w:w="1971"/>
                </w:tcPr>
                <w:p>
                  <w:pPr>
                    <w:spacing w:after="0"/>
                  </w:pPr>
                  <w:r/>
                  <w:r>
                    <w:rPr>
                      <w:rFonts w:ascii="맑은 고딕" w:hAnsi="맑은 고딕" w:eastAsia="맑은 고딕"/>
                      <w:b w:val="0"/>
                      <w:sz w:val="15"/>
                    </w:rPr>
                    <w:t>종로구 청운효자동</w:t>
                  </w:r>
                </w:p>
              </w:tc>
              <w:tc>
                <w:tcPr>
                  <w:tcW w:type="dxa" w:w="1424"/>
                </w:tcPr>
                <w:p>
                  <w:pPr>
                    <w:spacing w:after="0"/>
                  </w:pPr>
                  <w:r/>
                  <w:r>
                    <w:rPr>
                      <w:rFonts w:ascii="맑은 고딕" w:hAnsi="맑은 고딕" w:eastAsia="맑은 고딕"/>
                      <w:b w:val="0"/>
                      <w:sz w:val="15"/>
                    </w:rPr>
                    <w:t>평일 05-07</w:t>
                  </w:r>
                </w:p>
              </w:tc>
              <w:tc>
                <w:tcPr>
                  <w:tcW w:type="dxa" w:w="876"/>
                </w:tcPr>
                <w:p>
                  <w:pPr>
                    <w:spacing w:after="0"/>
                  </w:pPr>
                  <w:r/>
                  <w:r>
                    <w:rPr>
                      <w:rFonts w:ascii="맑은 고딕" w:hAnsi="맑은 고딕" w:eastAsia="맑은 고딕"/>
                      <w:b w:val="0"/>
                      <w:sz w:val="15"/>
                    </w:rPr>
                    <w:t>×</w:t>
                  </w:r>
                </w:p>
              </w:tc>
              <w:tc>
                <w:tcPr>
                  <w:tcW w:type="dxa" w:w="876"/>
                </w:tcPr>
                <w:p>
                  <w:pPr>
                    <w:spacing w:after="0"/>
                  </w:pPr>
                  <w:r/>
                  <w:r>
                    <w:rPr>
                      <w:rFonts w:ascii="맑은 고딕" w:hAnsi="맑은 고딕" w:eastAsia="맑은 고딕"/>
                      <w:b w:val="0"/>
                      <w:sz w:val="15"/>
                    </w:rPr>
                    <w:t>21.7%</w:t>
                  </w:r>
                </w:p>
              </w:tc>
              <w:tc>
                <w:tcPr>
                  <w:tcW w:type="dxa" w:w="1752"/>
                </w:tcPr>
                <w:p>
                  <w:pPr>
                    <w:spacing w:after="0"/>
                  </w:pPr>
                  <w:r/>
                  <w:r>
                    <w:rPr>
                      <w:rFonts w:ascii="맑은 고딕" w:hAnsi="맑은 고딕" w:eastAsia="맑은 고딕"/>
                      <w:b w:val="0"/>
                      <w:sz w:val="15"/>
                    </w:rPr>
                    <w:t>68.5 (56.2~79.9)</w:t>
                  </w:r>
                </w:p>
              </w:tc>
            </w:tr>
            <w:tr>
              <w:tc>
                <w:tcPr>
                  <w:tcW w:type="dxa" w:w="1095"/>
                </w:tcPr>
                <w:p>
                  <w:pPr>
                    <w:spacing w:after="0"/>
                  </w:pPr>
                  <w:r/>
                  <w:r>
                    <w:rPr>
                      <w:rFonts w:ascii="맑은 고딕" w:hAnsi="맑은 고딕" w:eastAsia="맑은 고딕"/>
                      <w:b w:val="0"/>
                      <w:sz w:val="15"/>
                    </w:rPr>
                    <w:t>2</w:t>
                  </w:r>
                </w:p>
              </w:tc>
              <w:tc>
                <w:tcPr>
                  <w:tcW w:type="dxa" w:w="1971"/>
                </w:tcPr>
                <w:p>
                  <w:pPr>
                    <w:spacing w:after="0"/>
                  </w:pPr>
                  <w:r/>
                  <w:r>
                    <w:rPr>
                      <w:rFonts w:ascii="맑은 고딕" w:hAnsi="맑은 고딕" w:eastAsia="맑은 고딕"/>
                      <w:b w:val="0"/>
                      <w:sz w:val="15"/>
                    </w:rPr>
                    <w:t>양천구 목5동</w:t>
                  </w:r>
                </w:p>
              </w:tc>
              <w:tc>
                <w:tcPr>
                  <w:tcW w:type="dxa" w:w="1424"/>
                </w:tcPr>
                <w:p>
                  <w:pPr>
                    <w:spacing w:after="0"/>
                  </w:pPr>
                  <w:r/>
                  <w:r>
                    <w:rPr>
                      <w:rFonts w:ascii="맑은 고딕" w:hAnsi="맑은 고딕" w:eastAsia="맑은 고딕"/>
                      <w:b w:val="0"/>
                      <w:sz w:val="15"/>
                    </w:rPr>
                    <w:t>평일 05-07</w:t>
                  </w:r>
                </w:p>
              </w:tc>
              <w:tc>
                <w:tcPr>
                  <w:tcW w:type="dxa" w:w="876"/>
                </w:tcPr>
                <w:p>
                  <w:pPr>
                    <w:spacing w:after="0"/>
                  </w:pPr>
                  <w:r/>
                  <w:r>
                    <w:rPr>
                      <w:rFonts w:ascii="맑은 고딕" w:hAnsi="맑은 고딕" w:eastAsia="맑은 고딕"/>
                      <w:b w:val="0"/>
                      <w:sz w:val="15"/>
                    </w:rPr>
                    <w:t>○</w:t>
                  </w:r>
                </w:p>
              </w:tc>
              <w:tc>
                <w:tcPr>
                  <w:tcW w:type="dxa" w:w="876"/>
                </w:tcPr>
                <w:p>
                  <w:pPr>
                    <w:spacing w:after="0"/>
                  </w:pPr>
                  <w:r/>
                  <w:r>
                    <w:rPr>
                      <w:rFonts w:ascii="맑은 고딕" w:hAnsi="맑은 고딕" w:eastAsia="맑은 고딕"/>
                      <w:b w:val="0"/>
                      <w:sz w:val="15"/>
                    </w:rPr>
                    <w:t>15.2%</w:t>
                  </w:r>
                </w:p>
              </w:tc>
              <w:tc>
                <w:tcPr>
                  <w:tcW w:type="dxa" w:w="1752"/>
                </w:tcPr>
                <w:p>
                  <w:pPr>
                    <w:spacing w:after="0"/>
                  </w:pPr>
                  <w:r/>
                  <w:r>
                    <w:rPr>
                      <w:rFonts w:ascii="맑은 고딕" w:hAnsi="맑은 고딕" w:eastAsia="맑은 고딕"/>
                      <w:b w:val="0"/>
                      <w:sz w:val="15"/>
                    </w:rPr>
                    <w:t>55.8 (45.8~65.1)</w:t>
                  </w:r>
                </w:p>
              </w:tc>
            </w:tr>
            <w:tr>
              <w:tc>
                <w:tcPr>
                  <w:tcW w:type="dxa" w:w="1095"/>
                </w:tcPr>
                <w:p>
                  <w:pPr>
                    <w:spacing w:after="0"/>
                  </w:pPr>
                  <w:r/>
                  <w:r>
                    <w:rPr>
                      <w:rFonts w:ascii="맑은 고딕" w:hAnsi="맑은 고딕" w:eastAsia="맑은 고딕"/>
                      <w:b w:val="0"/>
                      <w:sz w:val="15"/>
                    </w:rPr>
                    <w:t>3</w:t>
                  </w:r>
                </w:p>
              </w:tc>
              <w:tc>
                <w:tcPr>
                  <w:tcW w:type="dxa" w:w="1971"/>
                </w:tcPr>
                <w:p>
                  <w:pPr>
                    <w:spacing w:after="0"/>
                  </w:pPr>
                  <w:r/>
                  <w:r>
                    <w:rPr>
                      <w:rFonts w:ascii="맑은 고딕" w:hAnsi="맑은 고딕" w:eastAsia="맑은 고딕"/>
                      <w:b w:val="0"/>
                      <w:sz w:val="15"/>
                    </w:rPr>
                    <w:t>성동구 성수2가1동</w:t>
                  </w:r>
                </w:p>
              </w:tc>
              <w:tc>
                <w:tcPr>
                  <w:tcW w:type="dxa" w:w="1424"/>
                </w:tcPr>
                <w:p>
                  <w:pPr>
                    <w:spacing w:after="0"/>
                  </w:pPr>
                  <w:r/>
                  <w:r>
                    <w:rPr>
                      <w:rFonts w:ascii="맑은 고딕" w:hAnsi="맑은 고딕" w:eastAsia="맑은 고딕"/>
                      <w:b w:val="0"/>
                      <w:sz w:val="15"/>
                    </w:rPr>
                    <w:t>평일 05-07</w:t>
                  </w:r>
                </w:p>
              </w:tc>
              <w:tc>
                <w:tcPr>
                  <w:tcW w:type="dxa" w:w="876"/>
                </w:tcPr>
                <w:p>
                  <w:pPr>
                    <w:spacing w:after="0"/>
                  </w:pPr>
                  <w:r/>
                  <w:r>
                    <w:rPr>
                      <w:rFonts w:ascii="맑은 고딕" w:hAnsi="맑은 고딕" w:eastAsia="맑은 고딕"/>
                      <w:b w:val="0"/>
                      <w:sz w:val="15"/>
                    </w:rPr>
                    <w:t>×</w:t>
                  </w:r>
                </w:p>
              </w:tc>
              <w:tc>
                <w:tcPr>
                  <w:tcW w:type="dxa" w:w="876"/>
                </w:tcPr>
                <w:p>
                  <w:pPr>
                    <w:spacing w:after="0"/>
                  </w:pPr>
                  <w:r/>
                  <w:r>
                    <w:rPr>
                      <w:rFonts w:ascii="맑은 고딕" w:hAnsi="맑은 고딕" w:eastAsia="맑은 고딕"/>
                      <w:b w:val="0"/>
                      <w:sz w:val="15"/>
                    </w:rPr>
                    <w:t>25.1%</w:t>
                  </w:r>
                </w:p>
              </w:tc>
              <w:tc>
                <w:tcPr>
                  <w:tcW w:type="dxa" w:w="1752"/>
                </w:tcPr>
                <w:p>
                  <w:pPr>
                    <w:spacing w:after="0"/>
                  </w:pPr>
                  <w:r/>
                  <w:r>
                    <w:rPr>
                      <w:rFonts w:ascii="맑은 고딕" w:hAnsi="맑은 고딕" w:eastAsia="맑은 고딕"/>
                      <w:b w:val="0"/>
                      <w:sz w:val="15"/>
                    </w:rPr>
                    <w:t>48.4 (39.7~56.4)</w:t>
                  </w:r>
                </w:p>
              </w:tc>
            </w:tr>
            <w:tr>
              <w:tc>
                <w:tcPr>
                  <w:tcW w:type="dxa" w:w="1095"/>
                </w:tcPr>
                <w:p>
                  <w:pPr>
                    <w:spacing w:after="0"/>
                  </w:pPr>
                  <w:r/>
                  <w:r>
                    <w:rPr>
                      <w:rFonts w:ascii="맑은 고딕" w:hAnsi="맑은 고딕" w:eastAsia="맑은 고딕"/>
                      <w:b w:val="0"/>
                      <w:sz w:val="15"/>
                    </w:rPr>
                    <w:t>4</w:t>
                  </w:r>
                </w:p>
              </w:tc>
              <w:tc>
                <w:tcPr>
                  <w:tcW w:type="dxa" w:w="1971"/>
                </w:tcPr>
                <w:p>
                  <w:pPr>
                    <w:spacing w:after="0"/>
                  </w:pPr>
                  <w:r/>
                  <w:r>
                    <w:rPr>
                      <w:rFonts w:ascii="맑은 고딕" w:hAnsi="맑은 고딕" w:eastAsia="맑은 고딕"/>
                      <w:b w:val="0"/>
                      <w:sz w:val="15"/>
                    </w:rPr>
                    <w:t>서초구 반포3동</w:t>
                  </w:r>
                </w:p>
              </w:tc>
              <w:tc>
                <w:tcPr>
                  <w:tcW w:type="dxa" w:w="1424"/>
                </w:tcPr>
                <w:p>
                  <w:pPr>
                    <w:spacing w:after="0"/>
                  </w:pPr>
                  <w:r/>
                  <w:r>
                    <w:rPr>
                      <w:rFonts w:ascii="맑은 고딕" w:hAnsi="맑은 고딕" w:eastAsia="맑은 고딕"/>
                      <w:b w:val="0"/>
                      <w:sz w:val="15"/>
                    </w:rPr>
                    <w:t>평일 05-07</w:t>
                  </w:r>
                </w:p>
              </w:tc>
              <w:tc>
                <w:tcPr>
                  <w:tcW w:type="dxa" w:w="876"/>
                </w:tcPr>
                <w:p>
                  <w:pPr>
                    <w:spacing w:after="0"/>
                  </w:pPr>
                  <w:r/>
                  <w:r>
                    <w:rPr>
                      <w:rFonts w:ascii="맑은 고딕" w:hAnsi="맑은 고딕" w:eastAsia="맑은 고딕"/>
                      <w:b w:val="0"/>
                      <w:sz w:val="15"/>
                    </w:rPr>
                    <w:t>○</w:t>
                  </w:r>
                </w:p>
              </w:tc>
              <w:tc>
                <w:tcPr>
                  <w:tcW w:type="dxa" w:w="876"/>
                </w:tcPr>
                <w:p>
                  <w:pPr>
                    <w:spacing w:after="0"/>
                  </w:pPr>
                  <w:r/>
                  <w:r>
                    <w:rPr>
                      <w:rFonts w:ascii="맑은 고딕" w:hAnsi="맑은 고딕" w:eastAsia="맑은 고딕"/>
                      <w:b w:val="0"/>
                      <w:sz w:val="15"/>
                    </w:rPr>
                    <w:t>16.1%</w:t>
                  </w:r>
                </w:p>
              </w:tc>
              <w:tc>
                <w:tcPr>
                  <w:tcW w:type="dxa" w:w="1752"/>
                </w:tcPr>
                <w:p>
                  <w:pPr>
                    <w:spacing w:after="0"/>
                  </w:pPr>
                  <w:r/>
                  <w:r>
                    <w:rPr>
                      <w:rFonts w:ascii="맑은 고딕" w:hAnsi="맑은 고딕" w:eastAsia="맑은 고딕"/>
                      <w:b w:val="0"/>
                      <w:sz w:val="15"/>
                    </w:rPr>
                    <w:t>42.6 (34.9~49.7)</w:t>
                  </w:r>
                </w:p>
              </w:tc>
            </w:tr>
            <w:tr>
              <w:tc>
                <w:tcPr>
                  <w:tcW w:type="dxa" w:w="1095"/>
                </w:tcPr>
                <w:p>
                  <w:pPr>
                    <w:spacing w:after="0"/>
                  </w:pPr>
                  <w:r/>
                  <w:r>
                    <w:rPr>
                      <w:rFonts w:ascii="맑은 고딕" w:hAnsi="맑은 고딕" w:eastAsia="맑은 고딕"/>
                      <w:b w:val="0"/>
                      <w:sz w:val="15"/>
                    </w:rPr>
                    <w:t>5</w:t>
                  </w:r>
                </w:p>
              </w:tc>
              <w:tc>
                <w:tcPr>
                  <w:tcW w:type="dxa" w:w="1971"/>
                </w:tcPr>
                <w:p>
                  <w:pPr>
                    <w:spacing w:after="0"/>
                  </w:pPr>
                  <w:r/>
                  <w:r>
                    <w:rPr>
                      <w:rFonts w:ascii="맑은 고딕" w:hAnsi="맑은 고딕" w:eastAsia="맑은 고딕"/>
                      <w:b w:val="0"/>
                      <w:sz w:val="15"/>
                    </w:rPr>
                    <w:t>동대문구 회기동</w:t>
                  </w:r>
                </w:p>
              </w:tc>
              <w:tc>
                <w:tcPr>
                  <w:tcW w:type="dxa" w:w="1424"/>
                </w:tcPr>
                <w:p>
                  <w:pPr>
                    <w:spacing w:after="0"/>
                  </w:pPr>
                  <w:r/>
                  <w:r>
                    <w:rPr>
                      <w:rFonts w:ascii="맑은 고딕" w:hAnsi="맑은 고딕" w:eastAsia="맑은 고딕"/>
                      <w:b w:val="0"/>
                      <w:sz w:val="15"/>
                    </w:rPr>
                    <w:t>평일 05-07</w:t>
                  </w:r>
                </w:p>
              </w:tc>
              <w:tc>
                <w:tcPr>
                  <w:tcW w:type="dxa" w:w="876"/>
                </w:tcPr>
                <w:p>
                  <w:pPr>
                    <w:spacing w:after="0"/>
                  </w:pPr>
                  <w:r/>
                  <w:r>
                    <w:rPr>
                      <w:rFonts w:ascii="맑은 고딕" w:hAnsi="맑은 고딕" w:eastAsia="맑은 고딕"/>
                      <w:b w:val="0"/>
                      <w:sz w:val="15"/>
                    </w:rPr>
                    <w:t>○</w:t>
                  </w:r>
                </w:p>
              </w:tc>
              <w:tc>
                <w:tcPr>
                  <w:tcW w:type="dxa" w:w="876"/>
                </w:tcPr>
                <w:p>
                  <w:pPr>
                    <w:spacing w:after="0"/>
                  </w:pPr>
                  <w:r/>
                  <w:r>
                    <w:rPr>
                      <w:rFonts w:ascii="맑은 고딕" w:hAnsi="맑은 고딕" w:eastAsia="맑은 고딕"/>
                      <w:b w:val="0"/>
                      <w:sz w:val="15"/>
                    </w:rPr>
                    <w:t>15.9%</w:t>
                  </w:r>
                </w:p>
              </w:tc>
              <w:tc>
                <w:tcPr>
                  <w:tcW w:type="dxa" w:w="1752"/>
                </w:tcPr>
                <w:p>
                  <w:pPr>
                    <w:spacing w:after="0"/>
                  </w:pPr>
                  <w:r/>
                  <w:r>
                    <w:rPr>
                      <w:rFonts w:ascii="맑은 고딕" w:hAnsi="맑은 고딕" w:eastAsia="맑은 고딕"/>
                      <w:b w:val="0"/>
                      <w:sz w:val="15"/>
                    </w:rPr>
                    <w:t>33.1 (27.2~38.6)</w:t>
                  </w:r>
                </w:p>
              </w:tc>
            </w:tr>
          </w:tbl>
          <w:p>
            <w:pPr>
              <w:spacing w:after="40" w:line="80" w:lineRule="exact"/>
            </w:pPr>
          </w:p>
          <w:p>
            <w:pPr>
              <w:spacing w:before="0" w:after="20"/>
            </w:pPr>
            <w:r>
              <w:rPr>
                <w:rFonts w:ascii="맑은 고딕" w:hAnsi="맑은 고딕" w:eastAsia="맑은 고딕"/>
                <w:b w:val="0"/>
                <w:sz w:val="17"/>
              </w:rPr>
              <w:t>우선순위 상위 20셀의 70%는 공간 양호 동(ART 기준으로는 보이지 않는 곳)이고, 나머지는 공간 불량 동으로 ART 조사와 겹친다. P2는 두 유형 모두에 적용된다. 탄소 기준 순위에 고령 비율을 가중한 순위는 결선 과제로 남긴다.</w:t>
            </w:r>
          </w:p>
        </w:tc>
      </w:tr>
      <w:tr>
        <w:tc>
          <w:tcPr>
            <w:tcW w:type="dxa" w:w="1361"/>
            <w:shd w:val="clear" w:color="auto" w:fill="F2F2F2"/>
            <w:vAlign w:val="center"/>
          </w:tcPr>
          <w:p>
            <w:pPr>
              <w:jc w:val="center"/>
            </w:pPr>
            <w:r/>
            <w:r>
              <w:rPr>
                <w:rFonts w:ascii="맑은 고딕" w:hAnsi="맑은 고딕" w:eastAsia="맑은 고딕"/>
                <w:b w:val="0"/>
                <w:sz w:val="20"/>
              </w:rPr>
              <w:t>기대효과</w:t>
            </w:r>
          </w:p>
        </w:tc>
        <w:tc>
          <w:tcPr>
            <w:tcW w:type="dxa" w:w="8277"/>
          </w:tcPr>
          <w:p>
            <w:pPr>
              <w:spacing w:after="20"/>
            </w:pPr>
            <w:r/>
            <w:r>
              <w:rPr>
                <w:rFonts w:ascii="맑은 고딕" w:hAnsi="맑은 고딕" w:eastAsia="맑은 고딕"/>
                <w:b/>
                <w:sz w:val="18"/>
              </w:rPr>
              <w:t>적용 사례 1 — 서울시 ART 전수조사(교통실).</w:t>
            </w:r>
            <w:r>
              <w:rPr>
                <w:rFonts w:ascii="맑은 고딕" w:hAnsi="맑은 고딕" w:eastAsia="맑은 고딕"/>
                <w:b w:val="0"/>
                <w:sz w:val="18"/>
              </w:rPr>
              <w:t xml:space="preserve"> 같은 공개 데이터로 월별 갱신하는 T-ART 표를 조사 보조 자료로 붙이면 공간 기준에서 빠지는 95개 동과 시간대가 조사 대상에 들어오고, 사각지대 셀 출발 통행의 57%가 그 동들에 있다.</w:t>
            </w:r>
          </w:p>
          <w:p>
            <w:pPr>
              <w:spacing w:before="0" w:after="20"/>
            </w:pPr>
            <w:r>
              <w:rPr>
                <w:rFonts w:ascii="맑은 고딕" w:hAnsi="맑은 고딕" w:eastAsia="맑은 고딕"/>
                <w:b/>
                <w:sz w:val="18"/>
              </w:rPr>
              <w:t>적용 사례 2 — 연례 노선·배차 조정(버스정책 부서·운수사).</w:t>
            </w:r>
            <w:r>
              <w:rPr>
                <w:rFonts w:ascii="맑은 고딕" w:hAnsi="맑은 고딕" w:eastAsia="맑은 고딕"/>
                <w:b w:val="0"/>
                <w:sz w:val="18"/>
              </w:rPr>
              <w:t xml:space="preserve"> 낮 비첨두 운행 일부를 새벽 첫차 시간대로 당기면(노선별 첫차 조기화·구간 배차) 차량·버스km를 늘리지 않고 연 512~1,460 tCO₂ 순감축(시뮬레이션). KPI는 이동 운행 1회당 순감축(0.53 kg).</w:t>
            </w:r>
          </w:p>
          <w:p>
            <w:pPr>
              <w:spacing w:before="0" w:after="20"/>
            </w:pPr>
            <w:r>
              <w:rPr>
                <w:rFonts w:ascii="맑은 고딕" w:hAnsi="맑은 고딕" w:eastAsia="맑은 고딕"/>
                <w:b/>
                <w:sz w:val="18"/>
              </w:rPr>
              <w:t>적용 사례 3 — 새벽동행·심야 자율주행버스와 DRT 배치(교통실·자치구).</w:t>
            </w:r>
            <w:r>
              <w:rPr>
                <w:rFonts w:ascii="맑은 고딕" w:hAnsi="맑은 고딕" w:eastAsia="맑은 고딕"/>
                <w:b w:val="0"/>
                <w:sz w:val="18"/>
              </w:rPr>
              <w:t xml:space="preserve"> 저수요 셀은 대형 증회 대신 소형·전기 수단 후보로 걸러, 증회로 배출이 늘어나는 셀을 피한다. 프로토타입 「서울 버스시계(T-ART)」가 이를 한 화면에 보여준다(분석결과 이미지).</w:t>
            </w:r>
          </w:p>
          <w:p>
            <w:pPr>
              <w:spacing w:before="0" w:after="20"/>
            </w:pPr>
            <w:r>
              <w:rPr>
                <w:rFonts w:ascii="맑은 고딕" w:hAnsi="맑은 고딕" w:eastAsia="맑은 고딕"/>
                <w:b/>
                <w:sz w:val="17"/>
              </w:rPr>
              <w:t>한계.</w:t>
            </w:r>
            <w:r>
              <w:rPr>
                <w:rFonts w:ascii="맑은 고딕" w:hAnsi="맑은 고딕" w:eastAsia="맑은 고딕"/>
                <w:b w:val="0"/>
                <w:sz w:val="17"/>
              </w:rPr>
              <w:t xml:space="preserve"> ① 생활이동은 KT 통신 신호 기반 추정치(수단 포함)이며 30분 미만 체류는 별도 통행으로 집계되지 않는다. ② 목적 데이터는 수단과 교차되지 않아 차량 통행의 목적은 말하지 않는다. ③ 형평성 지표는 행정동 단위 생태학적 지표다. ④ 공급-차량 비중 관계는 연관이며 주간에는 확인되지 않는다. 새벽 계수는 05–07 한 구간이라 평일·주말 대비로만 식별된다. ⑤ 파업 분석에는 지하철 증회·무료 셔틀 등 동시 조치가 섞여 있다. 그 밖에 승용차 계수는 신차 공인값, 재차인원은 가정(1.2~1.6), 전기버스 국내 실측 전력 소비는 미확보, 생활인구 2개 동(항동·상일2동) 미매칭.</w:t>
            </w:r>
          </w:p>
        </w:tc>
      </w:tr>
      <w:tr>
        <w:tc>
          <w:tcPr>
            <w:tcW w:type="dxa" w:w="1361"/>
            <w:shd w:val="clear" w:color="auto" w:fill="F2F2F2"/>
            <w:vAlign w:val="center"/>
          </w:tcPr>
          <w:p>
            <w:pPr>
              <w:jc w:val="center"/>
            </w:pPr>
            <w:r/>
            <w:r>
              <w:rPr>
                <w:rFonts w:ascii="맑은 고딕" w:hAnsi="맑은 고딕" w:eastAsia="맑은 고딕"/>
                <w:b w:val="0"/>
                <w:sz w:val="20"/>
              </w:rPr>
              <w:t>분석도구</w:t>
              <w:br/>
              <w:t>및</w:t>
              <w:br/>
              <w:t>참고문헌</w:t>
            </w:r>
          </w:p>
        </w:tc>
        <w:tc>
          <w:tcPr>
            <w:tcW w:type="dxa" w:w="8277"/>
          </w:tcPr>
          <w:p>
            <w:pPr>
              <w:spacing w:after="20"/>
            </w:pPr>
            <w:r/>
            <w:r>
              <w:rPr>
                <w:rFonts w:ascii="맑은 고딕" w:hAnsi="맑은 고딕" w:eastAsia="맑은 고딕"/>
                <w:b/>
                <w:sz w:val="19"/>
              </w:rPr>
              <w:t>코드 저장소: https://github.com/TaeRimYeo/timegap-seoul</w:t>
            </w:r>
          </w:p>
          <w:p>
            <w:pPr>
              <w:spacing w:before="0" w:after="20"/>
            </w:pPr>
            <w:r>
              <w:rPr>
                <w:rFonts w:ascii="맑은 고딕" w:hAnsi="맑은 고딕" w:eastAsia="맑은 고딕"/>
                <w:b w:val="0"/>
                <w:sz w:val="17"/>
              </w:rPr>
              <w:t>분석도구: Python 3.12, duckdb, pandas, pyfixest, geopandas·shapely, matplotlib(koreanize-matplotlib), python-docx, Leaflet 1.9.4. 실행: run_all.py(번호순).</w:t>
            </w:r>
          </w:p>
          <w:p>
            <w:pPr>
              <w:spacing w:before="0" w:after="20"/>
            </w:pPr>
            <w:r>
              <w:rPr>
                <w:rFonts w:ascii="맑은 고딕" w:hAnsi="맑은 고딕" w:eastAsia="맑은 고딕"/>
                <w:b w:val="0"/>
                <w:sz w:val="15"/>
              </w:rPr>
              <w:t>[1] 서울신문(2026-08-21) 「오세훈, 2030년 서울에 자율주행버스 500대 투입…심야도 운영」. m.go.seoul.co.kr/news/2026/08/21/20260821500122</w:t>
            </w:r>
          </w:p>
          <w:p>
            <w:pPr>
              <w:spacing w:before="0" w:after="20"/>
            </w:pPr>
            <w:r>
              <w:rPr>
                <w:rFonts w:ascii="맑은 고딕" w:hAnsi="맑은 고딕" w:eastAsia="맑은 고딕"/>
                <w:b w:val="0"/>
                <w:sz w:val="15"/>
              </w:rPr>
              <w:t>[2] 서울 열린데이터광장, 수도권 생활이동 매뉴얼 및 수단별 레이아웃(이동수단 코드 1~9). data.seoul.go.kr/dataVisual/seoul/capitalRegionLivingMigration.do</w:t>
            </w:r>
          </w:p>
          <w:p>
            <w:pPr>
              <w:spacing w:before="0" w:after="20"/>
            </w:pPr>
            <w:r>
              <w:rPr>
                <w:rFonts w:ascii="맑은 고딕" w:hAnsi="맑은 고딕" w:eastAsia="맑은 고딕"/>
                <w:b w:val="0"/>
                <w:sz w:val="15"/>
              </w:rPr>
              <w:t>[3] 환경부(2022-11-16) 「재작년 판매된 자동차 온실가스 배출량, 기준보다 29% 많아」(10인승 이하 승용·승합 평균 125.2 g/km). korea.kr/news/policyNewsView.do?newsId=148908381</w:t>
            </w:r>
          </w:p>
          <w:p>
            <w:pPr>
              <w:spacing w:before="0" w:after="20"/>
            </w:pPr>
            <w:r>
              <w:rPr>
                <w:rFonts w:ascii="맑은 고딕" w:hAnsi="맑은 고딕" w:eastAsia="맑은 고딕"/>
                <w:b w:val="0"/>
                <w:sz w:val="15"/>
              </w:rPr>
              <w:t>[4] IPCC(2006) 2006 IPCC Guidelines, Vol.2 Ch.3 Mobile Combustion, Table 3.2.1(CNG 56,100 kg/TJ).</w:t>
            </w:r>
          </w:p>
          <w:p>
            <w:pPr>
              <w:spacing w:before="0" w:after="20"/>
            </w:pPr>
            <w:r>
              <w:rPr>
                <w:rFonts w:ascii="맑은 고딕" w:hAnsi="맑은 고딕" w:eastAsia="맑은 고딕"/>
                <w:b w:val="0"/>
                <w:sz w:val="15"/>
              </w:rPr>
              <w:t>[5] 에너지법 시행규칙 [별표] 에너지열량 환산기준 &lt;개정 2022.11.21.&gt;(도시가스 LNG 순발열량 38.5 MJ/Nm³). law.go.kr</w:t>
            </w:r>
          </w:p>
          <w:p>
            <w:pPr>
              <w:spacing w:before="0" w:after="20"/>
            </w:pPr>
            <w:r>
              <w:rPr>
                <w:rFonts w:ascii="맑은 고딕" w:hAnsi="맑은 고딕" w:eastAsia="맑은 고딕"/>
                <w:b w:val="0"/>
                <w:sz w:val="15"/>
              </w:rPr>
              <w:t>[6] 서울특별시 교통 누리집(2013-06-17) 「서울시, 시내버스 연비효율 높여 업계 재정부담 줄인다」(CNG 실운행 연비 1.8 km/㎥). news.seoul.go.kr/traffic/archives/11516</w:t>
            </w:r>
          </w:p>
          <w:p>
            <w:pPr>
              <w:spacing w:before="0" w:after="20"/>
            </w:pPr>
            <w:r>
              <w:rPr>
                <w:rFonts w:ascii="맑은 고딕" w:hAnsi="맑은 고딕" w:eastAsia="맑은 고딕"/>
                <w:b w:val="0"/>
                <w:sz w:val="15"/>
              </w:rPr>
              <w:t>[7] 기후에너지환경부(2025-12-18) 보도자료 「전력배출계수 갱신 주기 3년에서 1년으로 단축」(2023년 0.4173 tCO₂eq/MWh). korea.kr/briefing/pressReleaseView.do?newsId=156735726</w:t>
            </w:r>
          </w:p>
          <w:p>
            <w:pPr>
              <w:spacing w:before="0" w:after="20"/>
            </w:pPr>
            <w:r>
              <w:rPr>
                <w:rFonts w:ascii="맑은 고딕" w:hAnsi="맑은 고딕" w:eastAsia="맑은 고딕"/>
                <w:b w:val="0"/>
                <w:sz w:val="15"/>
              </w:rPr>
              <w:t>[8] Kim S., Kim T., Jeon J.(2025) Implementing dynamic distance-time conversion factors…, PLoS One, doi:10.1371/journal.pone.0330266 (서울 우회계수 1.215·1.296).</w:t>
            </w:r>
          </w:p>
          <w:p>
            <w:pPr>
              <w:spacing w:before="0" w:after="20"/>
            </w:pPr>
            <w:r>
              <w:rPr>
                <w:rFonts w:ascii="맑은 고딕" w:hAnsi="맑은 고딕" w:eastAsia="맑은 고딕"/>
                <w:b w:val="0"/>
                <w:sz w:val="15"/>
              </w:rPr>
              <w:t>[9] 경향신문(2026-01-13), 아주경제(2026-01-12), 헤럴드경제(2026-01-14): 서울 시내버스 파업 일정과 지하철 172회 증회·막차 연장·무료 셔틀 670여 대 투입.</w:t>
            </w:r>
          </w:p>
          <w:p>
            <w:pPr>
              <w:spacing w:before="0" w:after="20"/>
            </w:pPr>
            <w:r>
              <w:rPr>
                <w:rFonts w:ascii="맑은 고딕" w:hAnsi="맑은 고딕" w:eastAsia="맑은 고딕"/>
                <w:b w:val="0"/>
                <w:sz w:val="15"/>
              </w:rPr>
              <w:t>[10] 자료 라이선스: 서울 열린데이터광장·공공데이터포털 공공누리, OpenStreetMap ODbL, vuski/admdongkor(저장소 라이선스). 상세는 저장소 data/README.md.</w:t>
            </w:r>
          </w:p>
          <w:p>
            <w:pPr>
              <w:spacing w:before="0" w:after="20"/>
            </w:pPr>
            <w:r>
              <w:rPr>
                <w:rFonts w:ascii="맑은 고딕" w:hAnsi="맑은 고딕" w:eastAsia="맑은 고딕"/>
                <w:b w:val="0"/>
                <w:sz w:val="15"/>
              </w:rPr>
              <w:t>AI 활용 내역: 저장소 docs/AI활용내역.md(작업 단계별 사용 범위·사람 검토 항목).</w:t>
            </w:r>
          </w:p>
        </w:tc>
      </w:tr>
      <w:tr>
        <w:tc>
          <w:tcPr>
            <w:tcW w:type="dxa" w:w="1361"/>
            <w:shd w:val="clear" w:color="auto" w:fill="F2F2F2"/>
            <w:vAlign w:val="center"/>
          </w:tcPr>
          <w:p>
            <w:pPr>
              <w:jc w:val="center"/>
            </w:pPr>
            <w:r/>
            <w:r>
              <w:rPr>
                <w:rFonts w:ascii="맑은 고딕" w:hAnsi="맑은 고딕" w:eastAsia="맑은 고딕"/>
                <w:b w:val="0"/>
                <w:sz w:val="20"/>
              </w:rPr>
              <w:t>분석결과</w:t>
              <w:br/>
              <w:t>이미지</w:t>
              <w:br/>
              <w:t>(필수)</w:t>
            </w:r>
          </w:p>
        </w:tc>
        <w:tc>
          <w:tcPr>
            <w:tcW w:type="dxa" w:w="8277"/>
          </w:tcPr>
          <w:p>
            <w:r/>
          </w:p>
          <w:p>
            <w:pPr>
              <w:spacing w:after="0"/>
              <w:jc w:val="center"/>
            </w:pPr>
            <w:r>
              <w:drawing>
                <wp:inline xmlns:a="http://schemas.openxmlformats.org/drawingml/2006/main" xmlns:pic="http://schemas.openxmlformats.org/drawingml/2006/picture">
                  <wp:extent cx="4464000" cy="2742171"/>
                  <wp:docPr id="6" name="Picture 6"/>
                  <wp:cNvGraphicFramePr>
                    <a:graphicFrameLocks noChangeAspect="1"/>
                  </wp:cNvGraphicFramePr>
                  <a:graphic>
                    <a:graphicData uri="http://schemas.openxmlformats.org/drawingml/2006/picture">
                      <pic:pic>
                        <pic:nvPicPr>
                          <pic:cNvPr id="0" name="그림6_T-ART_프로토타입.png"/>
                          <pic:cNvPicPr/>
                        </pic:nvPicPr>
                        <pic:blipFill>
                          <a:blip r:embed="rId14"/>
                          <a:stretch>
                            <a:fillRect/>
                          </a:stretch>
                        </pic:blipFill>
                        <pic:spPr>
                          <a:xfrm>
                            <a:off x="0" y="0"/>
                            <a:ext cx="4464000" cy="2742171"/>
                          </a:xfrm>
                          <a:prstGeom prst="rect"/>
                        </pic:spPr>
                      </pic:pic>
                    </a:graphicData>
                  </a:graphic>
                </wp:inline>
              </w:drawing>
            </w:r>
          </w:p>
          <w:p>
            <w:pPr>
              <w:spacing w:before="0" w:after="60"/>
            </w:pPr>
            <w:r>
              <w:rPr>
                <w:rFonts w:ascii="맑은 고딕" w:hAnsi="맑은 고딕" w:eastAsia="맑은 고딕"/>
                <w:b w:val="0"/>
                <w:color w:val="444444"/>
                <w:sz w:val="16"/>
              </w:rPr>
              <w:t>그림 6. 시연 프로토타입 「서울 버스시계(T-ART)」 행정용 화면. 시간대를 고르면 동별 공급과 시간 사각지대가 지도에 표시되고, 동을 누르면 보강 수단별 순감축을 보여 준다(설치 없이 브라우저에서 실행).</w:t>
            </w: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before="0" w:line="259"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