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August 2026 KONEPS Pilot Dataset Validation &amp; Audit Report</w:t>
      </w:r>
    </w:p>
    <w:p>
      <w:r>
        <w:t>한국어 | English</w:t>
      </w:r>
    </w:p>
    <w:p>
      <w:r>
        <w:t>This technical report documents the empirical audit of the 1-month benchmark pilot dataset (2026-08-01 through 2026-08-31) for South Korea's Public Procurement Service (KONEPS) OpenAPI (PubDataOpnStdService v1.2) across tender notices (bids), executed contracts (contracts), and opening/award decisions (awards). All figures are derived strictly from the deterministic metrics artifact (data/processed/audits/pilot_2026_08_metrics.json).</w:t>
      </w:r>
    </w:p>
    <w:p>
      <w:pPr>
        <w:ind w:left="432"/>
      </w:pPr>
      <w:r>
        <w:rPr>
          <w:i/>
          <w:color w:val="646464"/>
        </w:rPr>
        <w:t>[!NOTE]</w:t>
      </w:r>
    </w:p>
    <w:p>
      <w:pPr>
        <w:ind w:left="432"/>
      </w:pPr>
      <w:r>
        <w:rPr>
          <w:i/>
          <w:color w:val="646464"/>
        </w:rPr>
        <w:t>Reconciliation Note:</w:t>
      </w:r>
    </w:p>
    <w:p>
      <w:pPr>
        <w:ind w:left="432"/>
      </w:pPr>
      <w:r>
        <w:rPr>
          <w:i/>
          <w:color w:val="646464"/>
        </w:rPr>
        <w:t>This authoritative audit resolves earlier provisional discrepancies caused by September 1 smoke-test records coexisting in processed directories. All metrics reported here are strictly filtered by event dates (bid_notice_date, opening_date, contract_date) falling within 2026-08-01 to 2026-08-31.</w:t>
      </w:r>
    </w:p>
    <w:p>
      <w:pPr>
        <w:pStyle w:val="Heading1"/>
      </w:pPr>
      <w:r>
        <w:t>1. Scope &amp; Window Strategy</w:t>
      </w:r>
    </w:p>
    <w:p>
      <w:pPr>
        <w:pStyle w:val="ListBullet"/>
      </w:pPr>
      <w:r>
        <w:t>Target Scope: August 1, 2026 through August 31, 2026 (31 days)</w:t>
      </w:r>
    </w:p>
    <w:p>
      <w:pPr>
        <w:pStyle w:val="ListBullet"/>
      </w:pPr>
      <w:r>
        <w:t>Window Strategy:</w:t>
      </w:r>
    </w:p>
    <w:p>
      <w:pPr>
        <w:pStyle w:val="ListNumber"/>
      </w:pPr>
      <w:r>
        <w:t>bids (getDataSetOpnStdBidPblancInfo): 1 monthly window (31 days)</w:t>
      </w:r>
    </w:p>
    <w:p>
      <w:pPr>
        <w:pStyle w:val="ListNumber"/>
      </w:pPr>
      <w:r>
        <w:t>contracts (getDataSetOpnStdCntrctInfo): 5 weekly windows (7-day partitions)</w:t>
      </w:r>
    </w:p>
    <w:p>
      <w:pPr>
        <w:pStyle w:val="ListNumber"/>
      </w:pPr>
      <w:r>
        <w:t>awards (getDataSetOpnStdScsbidInfo): 124 daily windows (31 days × 4 business divisions: goods, foreign, construction, service)</w:t>
      </w:r>
    </w:p>
    <w:p>
      <w:pPr>
        <w:pStyle w:val="ListBullet"/>
      </w:pPr>
      <w:r>
        <w:t>Page Size: Configured to maximum official allowance of pageSize=999</w:t>
      </w:r>
    </w:p>
    <w:p>
      <w:pPr>
        <w:pStyle w:val="Heading1"/>
      </w:pPr>
      <w:r>
        <w:t>2. Collection Volume &amp; API Traffic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Feed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Raw Rows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API Calls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Compressed Gzip Size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t>bids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32,895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3.76 MB</w:t>
            </w:r>
          </w:p>
        </w:tc>
        <w:tc>
          <w:tcPr>
            <w:tcW w:type="dxa" w:w="1560"/>
          </w:tcPr>
          <w:p>
            <w:r>
              <w:t>100% Complete</w:t>
            </w:r>
          </w:p>
        </w:tc>
      </w:tr>
      <w:tr>
        <w:tc>
          <w:tcPr>
            <w:tcW w:type="dxa" w:w="1560"/>
          </w:tcPr>
          <w:p>
            <w:r>
              <w:t>contracts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115,945</w:t>
            </w:r>
          </w:p>
        </w:tc>
        <w:tc>
          <w:tcPr>
            <w:tcW w:type="dxa" w:w="1560"/>
          </w:tcPr>
          <w:p>
            <w:r>
              <w:t>119</w:t>
            </w:r>
          </w:p>
        </w:tc>
        <w:tc>
          <w:tcPr>
            <w:tcW w:type="dxa" w:w="1560"/>
          </w:tcPr>
          <w:p>
            <w:r>
              <w:t>25.34 MB</w:t>
            </w:r>
          </w:p>
        </w:tc>
        <w:tc>
          <w:tcPr>
            <w:tcW w:type="dxa" w:w="1560"/>
          </w:tcPr>
          <w:p>
            <w:r>
              <w:t>100% Complete</w:t>
            </w:r>
          </w:p>
        </w:tc>
      </w:tr>
      <w:tr>
        <w:tc>
          <w:tcPr>
            <w:tcW w:type="dxa" w:w="1560"/>
          </w:tcPr>
          <w:p>
            <w:r>
              <w:t>awards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2,120,108</w:t>
            </w:r>
          </w:p>
        </w:tc>
        <w:tc>
          <w:tcPr>
            <w:tcW w:type="dxa" w:w="1560"/>
          </w:tcPr>
          <w:p>
            <w:r>
              <w:t>2,213</w:t>
            </w:r>
          </w:p>
        </w:tc>
        <w:tc>
          <w:tcPr>
            <w:tcW w:type="dxa" w:w="1560"/>
          </w:tcPr>
          <w:p>
            <w:r>
              <w:t>114.82 MB</w:t>
            </w:r>
          </w:p>
        </w:tc>
        <w:tc>
          <w:tcPr>
            <w:tcW w:type="dxa" w:w="1560"/>
          </w:tcPr>
          <w:p>
            <w:r>
              <w:t>100% Complete</w:t>
            </w:r>
          </w:p>
        </w:tc>
      </w:tr>
      <w:tr>
        <w:tc>
          <w:tcPr>
            <w:tcW w:type="dxa" w:w="1560"/>
          </w:tcPr>
          <w:p>
            <w:r>
              <w:t>Total</w:t>
            </w:r>
          </w:p>
        </w:tc>
        <w:tc>
          <w:tcPr>
            <w:tcW w:type="dxa" w:w="1560"/>
          </w:tcPr>
          <w:p>
            <w:r>
              <w:t>130</w:t>
            </w:r>
          </w:p>
        </w:tc>
        <w:tc>
          <w:tcPr>
            <w:tcW w:type="dxa" w:w="1560"/>
          </w:tcPr>
          <w:p>
            <w:r>
              <w:t>2,268,948</w:t>
            </w:r>
          </w:p>
        </w:tc>
        <w:tc>
          <w:tcPr>
            <w:tcW w:type="dxa" w:w="1560"/>
          </w:tcPr>
          <w:p>
            <w:r>
              <w:t>2,365</w:t>
            </w:r>
          </w:p>
        </w:tc>
        <w:tc>
          <w:tcPr>
            <w:tcW w:type="dxa" w:w="1560"/>
          </w:tcPr>
          <w:p>
            <w:r>
              <w:t>~143.92 MB</w:t>
            </w:r>
          </w:p>
        </w:tc>
        <w:tc>
          <w:tcPr>
            <w:tcW w:type="dxa" w:w="1560"/>
          </w:tcPr>
          <w:p>
            <w:r>
              <w:t>100% Success (0 Failures)</w:t>
            </w:r>
          </w:p>
        </w:tc>
      </w:tr>
    </w:tbl>
    <w:p/>
    <w:p>
      <w:pPr>
        <w:pStyle w:val="Heading2"/>
      </w:pPr>
      <w:r>
        <w:t>Awards Volume by Business Category</w:t>
      </w:r>
    </w:p>
    <w:p>
      <w:pPr>
        <w:pStyle w:val="ListBullet"/>
      </w:pPr>
      <w:r>
        <w:t>Construction (construction, code 3): 31 windows, 1,646,350 rows (77.65%), 1,668 API calls</w:t>
      </w:r>
    </w:p>
    <w:p>
      <w:pPr>
        <w:pStyle w:val="ListBullet"/>
      </w:pPr>
      <w:r>
        <w:t>Goods (goods, code 1): 31 windows, 328,201 rows (17.79%), 347 API calls</w:t>
      </w:r>
    </w:p>
    <w:p>
      <w:pPr>
        <w:pStyle w:val="ListBullet"/>
      </w:pPr>
      <w:r>
        <w:t>Services (service, code 5): 31 windows, 145,425 rows (4.54%), 167 API calls</w:t>
      </w:r>
    </w:p>
    <w:p>
      <w:pPr>
        <w:pStyle w:val="ListBullet"/>
      </w:pPr>
      <w:r>
        <w:t>Foreign (foreign, code 2): 31 windows, 132 rows (0.01%), 31 API calls</w:t>
      </w:r>
    </w:p>
    <w:p>
      <w:pPr>
        <w:ind w:left="432"/>
      </w:pPr>
      <w:r>
        <w:rPr>
          <w:i/>
          <w:color w:val="646464"/>
        </w:rPr>
        <w:t>[!NOTE]</w:t>
      </w:r>
    </w:p>
    <w:p>
      <w:pPr>
        <w:ind w:left="432"/>
      </w:pPr>
      <w:r>
        <w:rPr>
          <w:i/>
          <w:color w:val="646464"/>
        </w:rPr>
        <w:t>API Quota Observation:</w:t>
      </w:r>
    </w:p>
    <w:p>
      <w:pPr>
        <w:ind w:left="432"/>
      </w:pPr>
      <w:r>
        <w:rPr>
          <w:i/>
          <w:color w:val="646464"/>
        </w:rPr>
        <w:t>The configured API key completed 2,365 live requests in a single continuous session without encountering quota exhaustion errors.</w:t>
      </w:r>
    </w:p>
    <w:p>
      <w:pPr>
        <w:pStyle w:val="Heading1"/>
      </w:pPr>
      <w:r>
        <w:t>3. Lossless Deduplication &amp; Collision Forensics</w:t>
      </w:r>
    </w:p>
    <w:p>
      <w:pPr>
        <w:pStyle w:val="Heading2"/>
      </w:pPr>
      <w:r>
        <w:t>3.1 Lossless Grain Refinement</w:t>
      </w:r>
    </w:p>
    <w:p>
      <w:r>
        <w:t>When applying the previous 5-column candidate key, 1,067 legitimate distinct bids in multi-lot tenders (e.g. R26BK01634241) were erroneously collapsed. The deduplication grain was refined to:</w:t>
      </w:r>
    </w:p>
    <w:p>
      <w:r>
        <w:t>Lossless Grain Key = [\texttt{bidNtceNo, \texttt{bidNtceOrd, \texttt{bidprcCorpBizrno, \texttt{opengRank, \texttt{dqlfctnRsn, \texttt{bidprcAmt, \texttt{bidprcTm]</w:t>
      </w:r>
    </w:p>
    <w:p>
      <w:pPr>
        <w:pStyle w:val="Heading2"/>
      </w:pPr>
      <w:r>
        <w:t>3.2 Deduplication Accounting &amp; Collision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Feed / Category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Raw Rows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Exact Duplicates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Legacy Key Dups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Current Lossless Key Dups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Preserved Submissions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Processed Parquet Rows</w:t>
            </w:r>
          </w:p>
        </w:tc>
      </w:tr>
      <w:tr>
        <w:tc>
          <w:tcPr>
            <w:tcW w:type="dxa" w:w="1337"/>
          </w:tcPr>
          <w:p>
            <w:r>
              <w:t>bids</w:t>
            </w:r>
          </w:p>
        </w:tc>
        <w:tc>
          <w:tcPr>
            <w:tcW w:type="dxa" w:w="1337"/>
          </w:tcPr>
          <w:p>
            <w:r>
              <w:t>32,895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32,895</w:t>
            </w:r>
          </w:p>
        </w:tc>
      </w:tr>
      <w:tr>
        <w:tc>
          <w:tcPr>
            <w:tcW w:type="dxa" w:w="1337"/>
          </w:tcPr>
          <w:p>
            <w:r>
              <w:t>contracts</w:t>
            </w:r>
          </w:p>
        </w:tc>
        <w:tc>
          <w:tcPr>
            <w:tcW w:type="dxa" w:w="1337"/>
          </w:tcPr>
          <w:p>
            <w:r>
              <w:t>115,945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115,945</w:t>
            </w:r>
          </w:p>
        </w:tc>
      </w:tr>
      <w:tr>
        <w:tc>
          <w:tcPr>
            <w:tcW w:type="dxa" w:w="1337"/>
          </w:tcPr>
          <w:p>
            <w:r>
              <w:t>awards_goods</w:t>
            </w:r>
          </w:p>
        </w:tc>
        <w:tc>
          <w:tcPr>
            <w:tcW w:type="dxa" w:w="1337"/>
          </w:tcPr>
          <w:p>
            <w:r>
              <w:t>328,201</w:t>
            </w:r>
          </w:p>
        </w:tc>
        <w:tc>
          <w:tcPr>
            <w:tcW w:type="dxa" w:w="1337"/>
          </w:tcPr>
          <w:p>
            <w:r>
              <w:t>2,540</w:t>
            </w:r>
          </w:p>
        </w:tc>
        <w:tc>
          <w:tcPr>
            <w:tcW w:type="dxa" w:w="1337"/>
          </w:tcPr>
          <w:p>
            <w:r>
              <w:t>4,593</w:t>
            </w:r>
          </w:p>
        </w:tc>
        <w:tc>
          <w:tcPr>
            <w:tcW w:type="dxa" w:w="1337"/>
          </w:tcPr>
          <w:p>
            <w:r>
              <w:t>3,526</w:t>
            </w:r>
          </w:p>
        </w:tc>
        <w:tc>
          <w:tcPr>
            <w:tcW w:type="dxa" w:w="1337"/>
          </w:tcPr>
          <w:p>
            <w:r>
              <w:t>+1,067</w:t>
            </w:r>
          </w:p>
        </w:tc>
        <w:tc>
          <w:tcPr>
            <w:tcW w:type="dxa" w:w="1337"/>
          </w:tcPr>
          <w:p>
            <w:r>
              <w:t>324,675</w:t>
            </w:r>
          </w:p>
        </w:tc>
      </w:tr>
      <w:tr>
        <w:tc>
          <w:tcPr>
            <w:tcW w:type="dxa" w:w="1337"/>
          </w:tcPr>
          <w:p>
            <w:r>
              <w:t>awards_foreign</w:t>
            </w:r>
          </w:p>
        </w:tc>
        <w:tc>
          <w:tcPr>
            <w:tcW w:type="dxa" w:w="1337"/>
          </w:tcPr>
          <w:p>
            <w:r>
              <w:t>132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123</w:t>
            </w:r>
          </w:p>
        </w:tc>
      </w:tr>
      <w:tr>
        <w:tc>
          <w:tcPr>
            <w:tcW w:type="dxa" w:w="1337"/>
          </w:tcPr>
          <w:p>
            <w:r>
              <w:t>awards_construction</w:t>
            </w:r>
          </w:p>
        </w:tc>
        <w:tc>
          <w:tcPr>
            <w:tcW w:type="dxa" w:w="1337"/>
          </w:tcPr>
          <w:p>
            <w:r>
              <w:t>1,646,350</w:t>
            </w:r>
          </w:p>
        </w:tc>
        <w:tc>
          <w:tcPr>
            <w:tcW w:type="dxa" w:w="1337"/>
          </w:tcPr>
          <w:p>
            <w:r>
              <w:t>6,050</w:t>
            </w:r>
          </w:p>
        </w:tc>
        <w:tc>
          <w:tcPr>
            <w:tcW w:type="dxa" w:w="1337"/>
          </w:tcPr>
          <w:p>
            <w:r>
              <w:t>6,074</w:t>
            </w:r>
          </w:p>
        </w:tc>
        <w:tc>
          <w:tcPr>
            <w:tcW w:type="dxa" w:w="1337"/>
          </w:tcPr>
          <w:p>
            <w:r>
              <w:t>6,074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1,640,276</w:t>
            </w:r>
          </w:p>
        </w:tc>
      </w:tr>
      <w:tr>
        <w:tc>
          <w:tcPr>
            <w:tcW w:type="dxa" w:w="1337"/>
          </w:tcPr>
          <w:p>
            <w:r>
              <w:t>awards_service</w:t>
            </w:r>
          </w:p>
        </w:tc>
        <w:tc>
          <w:tcPr>
            <w:tcW w:type="dxa" w:w="1337"/>
          </w:tcPr>
          <w:p>
            <w:r>
              <w:t>145,425</w:t>
            </w:r>
          </w:p>
        </w:tc>
        <w:tc>
          <w:tcPr>
            <w:tcW w:type="dxa" w:w="1337"/>
          </w:tcPr>
          <w:p>
            <w:r>
              <w:t>2,490</w:t>
            </w:r>
          </w:p>
        </w:tc>
        <w:tc>
          <w:tcPr>
            <w:tcW w:type="dxa" w:w="1337"/>
          </w:tcPr>
          <w:p>
            <w:r>
              <w:t>2,551</w:t>
            </w:r>
          </w:p>
        </w:tc>
        <w:tc>
          <w:tcPr>
            <w:tcW w:type="dxa" w:w="1337"/>
          </w:tcPr>
          <w:p>
            <w:r>
              <w:t>2,551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142,874</w:t>
            </w:r>
          </w:p>
        </w:tc>
      </w:tr>
      <w:tr>
        <w:tc>
          <w:tcPr>
            <w:tcW w:type="dxa" w:w="1337"/>
          </w:tcPr>
          <w:p>
            <w:r>
              <w:t>awards Subtotal</w:t>
            </w:r>
          </w:p>
        </w:tc>
        <w:tc>
          <w:tcPr>
            <w:tcW w:type="dxa" w:w="1337"/>
          </w:tcPr>
          <w:p>
            <w:r>
              <w:t>2,120,108</w:t>
            </w:r>
          </w:p>
        </w:tc>
        <w:tc>
          <w:tcPr>
            <w:tcW w:type="dxa" w:w="1337"/>
          </w:tcPr>
          <w:p>
            <w:r>
              <w:t>11,089</w:t>
            </w:r>
          </w:p>
        </w:tc>
        <w:tc>
          <w:tcPr>
            <w:tcW w:type="dxa" w:w="1337"/>
          </w:tcPr>
          <w:p>
            <w:r>
              <w:t>13,227</w:t>
            </w:r>
          </w:p>
        </w:tc>
        <w:tc>
          <w:tcPr>
            <w:tcW w:type="dxa" w:w="1337"/>
          </w:tcPr>
          <w:p>
            <w:r>
              <w:t>12,160</w:t>
            </w:r>
          </w:p>
        </w:tc>
        <w:tc>
          <w:tcPr>
            <w:tcW w:type="dxa" w:w="1337"/>
          </w:tcPr>
          <w:p>
            <w:r>
              <w:t>+1,067</w:t>
            </w:r>
          </w:p>
        </w:tc>
        <w:tc>
          <w:tcPr>
            <w:tcW w:type="dxa" w:w="1337"/>
          </w:tcPr>
          <w:p>
            <w:r>
              <w:t>2,107,948</w:t>
            </w:r>
          </w:p>
        </w:tc>
      </w:tr>
      <w:tr>
        <w:tc>
          <w:tcPr>
            <w:tcW w:type="dxa" w:w="1337"/>
          </w:tcPr>
          <w:p>
            <w:r>
              <w:t>Total Overall</w:t>
            </w:r>
          </w:p>
        </w:tc>
        <w:tc>
          <w:tcPr>
            <w:tcW w:type="dxa" w:w="1337"/>
          </w:tcPr>
          <w:p>
            <w:r>
              <w:t>2,268,948</w:t>
            </w:r>
          </w:p>
        </w:tc>
        <w:tc>
          <w:tcPr>
            <w:tcW w:type="dxa" w:w="1337"/>
          </w:tcPr>
          <w:p>
            <w:r>
              <w:t>11,089</w:t>
            </w:r>
          </w:p>
        </w:tc>
        <w:tc>
          <w:tcPr>
            <w:tcW w:type="dxa" w:w="1337"/>
          </w:tcPr>
          <w:p>
            <w:r>
              <w:t>13,227</w:t>
            </w:r>
          </w:p>
        </w:tc>
        <w:tc>
          <w:tcPr>
            <w:tcW w:type="dxa" w:w="1337"/>
          </w:tcPr>
          <w:p>
            <w:r>
              <w:t>12,160</w:t>
            </w:r>
          </w:p>
        </w:tc>
        <w:tc>
          <w:tcPr>
            <w:tcW w:type="dxa" w:w="1337"/>
          </w:tcPr>
          <w:p>
            <w:r>
              <w:t>+1,067</w:t>
            </w:r>
          </w:p>
        </w:tc>
        <w:tc>
          <w:tcPr>
            <w:tcW w:type="dxa" w:w="1337"/>
          </w:tcPr>
          <w:p>
            <w:r>
              <w:t>2,256,788</w:t>
            </w:r>
          </w:p>
        </w:tc>
      </w:tr>
    </w:tbl>
    <w:p/>
    <w:p>
      <w:pPr>
        <w:pStyle w:val="Heading2"/>
      </w:pPr>
      <w:r>
        <w:t>3.3 Forensic Classification of Non-Exact Collisions (1,071 Rows)</w:t>
      </w:r>
    </w:p>
    <w:p>
      <w:r>
        <w:t>All 1,071 non-exact collisions under the current 7-column key are fully classified (source: docs/metrics/pilot_2026_08.json):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Cause</w:t>
            </w:r>
          </w:p>
        </w:tc>
      </w:tr>
      <w:tr>
        <w:tc>
          <w:tcPr>
            <w:tcW w:type="dxa" w:w="3120"/>
          </w:tcPr>
          <w:p>
            <w:r>
              <w:t>AWARD_BACKFILL</w:t>
            </w:r>
          </w:p>
        </w:tc>
        <w:tc>
          <w:tcPr>
            <w:tcW w:type="dxa" w:w="3120"/>
          </w:tcPr>
          <w:p>
            <w:r>
              <w:t>876 rows</w:t>
            </w:r>
          </w:p>
        </w:tc>
        <w:tc>
          <w:tcPr>
            <w:tcW w:type="dxa" w:w="3120"/>
          </w:tcPr>
          <w:p>
            <w:r>
              <w:t>Winner details (fnlSucsfCorpNm, fnlSucsfCorpBizrno, fnlSucsfAmt, etc.) filled in after bid opening event</w:t>
            </w:r>
          </w:p>
        </w:tc>
      </w:tr>
      <w:tr>
        <w:tc>
          <w:tcPr>
            <w:tcW w:type="dxa" w:w="3120"/>
          </w:tcPr>
          <w:p>
            <w:r>
              <w:t>SAME_SUBMISSION_STATUS_UPDATE</w:t>
            </w:r>
          </w:p>
        </w:tc>
        <w:tc>
          <w:tcPr>
            <w:tcW w:type="dxa" w:w="3120"/>
          </w:tcPr>
          <w:p>
            <w:r>
              <w:t>127 rows</w:t>
            </w:r>
          </w:p>
        </w:tc>
        <w:tc>
          <w:tcPr>
            <w:tcW w:type="dxa" w:w="3120"/>
          </w:tcPr>
          <w:p>
            <w:r>
              <w:t>Opening result status (opengRsltDivNm) changed or supplementary fields updated on same submission</w:t>
            </w:r>
          </w:p>
        </w:tc>
      </w:tr>
      <w:tr>
        <w:tc>
          <w:tcPr>
            <w:tcW w:type="dxa" w:w="3120"/>
          </w:tcPr>
          <w:p>
            <w:r>
              <w:t>PRICE_BACKFILL</w:t>
            </w:r>
          </w:p>
        </w:tc>
        <w:tc>
          <w:tcPr>
            <w:tcW w:type="dxa" w:w="3120"/>
          </w:tcPr>
          <w:p>
            <w:r>
              <w:t>68 rows</w:t>
            </w:r>
          </w:p>
        </w:tc>
        <w:tc>
          <w:tcPr>
            <w:tcW w:type="dxa" w:w="3120"/>
          </w:tcPr>
          <w:p>
            <w:r>
              <w:t>Reserved price (rsrvtnPrce) or base amount (bssAmt) populated after opening</w:t>
            </w:r>
          </w:p>
        </w:tc>
      </w:tr>
      <w:tr>
        <w:tc>
          <w:tcPr>
            <w:tcW w:type="dxa" w:w="3120"/>
          </w:tcPr>
          <w:p>
            <w:r>
              <w:t>DISTINCT_SUBMISSION</w:t>
            </w:r>
          </w:p>
        </w:tc>
        <w:tc>
          <w:tcPr>
            <w:tcW w:type="dxa" w:w="3120"/>
          </w:tcPr>
          <w:p>
            <w:r>
              <w:t>0 rows</w:t>
            </w:r>
          </w:p>
        </w:tc>
        <w:tc>
          <w:tcPr>
            <w:tcW w:type="dxa" w:w="3120"/>
          </w:tcPr>
          <w:p>
            <w:r>
              <w:t>✅ Lossless confirmed: no legitimate distinct bids collapsed</w:t>
            </w:r>
          </w:p>
        </w:tc>
      </w:tr>
      <w:tr>
        <w:tc>
          <w:tcPr>
            <w:tcW w:type="dxa" w:w="3120"/>
          </w:tcPr>
          <w:p>
            <w:r>
              <w:t>DISTINCT_CLASSIFICATION_OR_LOT</w:t>
            </w:r>
          </w:p>
        </w:tc>
        <w:tc>
          <w:tcPr>
            <w:tcW w:type="dxa" w:w="3120"/>
          </w:tcPr>
          <w:p>
            <w:r>
              <w:t>0 rows</w:t>
            </w:r>
          </w:p>
        </w:tc>
        <w:tc>
          <w:tcPr>
            <w:tcW w:type="dxa" w:w="3120"/>
          </w:tcPr>
          <w:p>
            <w:r>
              <w:t>✅ Lossless confirmed: no lot/classification-based rows collapsed</w:t>
            </w:r>
          </w:p>
        </w:tc>
      </w:tr>
      <w:tr>
        <w:tc>
          <w:tcPr>
            <w:tcW w:type="dxa" w:w="3120"/>
          </w:tcPr>
          <w:p>
            <w:r>
              <w:t>UNRESOLVED</w:t>
            </w:r>
          </w:p>
        </w:tc>
        <w:tc>
          <w:tcPr>
            <w:tcW w:type="dxa" w:w="3120"/>
          </w:tcPr>
          <w:p>
            <w:r>
              <w:t>0 rows</w:t>
            </w:r>
          </w:p>
        </w:tc>
        <w:tc>
          <w:tcPr>
            <w:tcW w:type="dxa" w:w="3120"/>
          </w:tcPr>
          <w:p>
            <w:r>
              <w:t>✅ No unresolved anomalies</w:t>
            </w:r>
          </w:p>
        </w:tc>
      </w:tr>
    </w:tbl>
    <w:p/>
    <w:p>
      <w:r>
        <w:t>The legacy 5-column key collapsed 1,067 legitimate distinct bid submissions in multi-lot tenders; the refined 7-column key fully preserves all of them.</w:t>
      </w:r>
    </w:p>
    <w:p>
      <w:pPr>
        <w:pStyle w:val="Heading1"/>
      </w:pPr>
      <w:r>
        <w:t>4. Final Winner Cardinality Analysis</w:t>
      </w:r>
    </w:p>
    <w:p>
      <w:r>
        <w:t>Distribution across 24,978 distinct tender notices in August awards:</w:t>
      </w:r>
    </w:p>
    <w:p>
      <w:pPr>
        <w:pStyle w:val="ListNumber"/>
      </w:pPr>
      <w:r>
        <w:t>Selected Winner Flag (is_selected_winner == True):</w:t>
      </w:r>
    </w:p>
    <w:p>
      <w:pPr>
        <w:pStyle w:val="ListBullet"/>
      </w:pPr>
      <w:r>
        <w:t>0 Winners: 8,197 tenders (32.82%) — Failed bids or pending review.</w:t>
      </w:r>
    </w:p>
    <w:p>
      <w:pPr>
        <w:pStyle w:val="ListBullet"/>
      </w:pPr>
      <w:r>
        <w:t>1 Winner: 16,741 tenders (67.02%) — Standard single-winner procurement.</w:t>
      </w:r>
    </w:p>
    <w:p>
      <w:pPr>
        <w:pStyle w:val="ListBullet"/>
      </w:pPr>
      <w:r>
        <w:t>2+ Winners: 40 tenders (0.16%) — Multi-lot allocations or joint awards.</w:t>
      </w:r>
    </w:p>
    <w:p>
      <w:pPr>
        <w:pStyle w:val="ListNumber"/>
      </w:pPr>
      <w:r>
        <w:t>Multi-Winner Empirical Cases:</w:t>
      </w:r>
    </w:p>
    <w:p>
      <w:pPr>
        <w:pStyle w:val="ListBullet"/>
      </w:pPr>
      <w:r>
        <w:t>Tender R26BK01649062: 26 separate items awarded across 3 distinct enterprises (26 winning rows).</w:t>
      </w:r>
    </w:p>
    <w:p>
      <w:pPr>
        <w:pStyle w:val="ListBullet"/>
      </w:pPr>
      <w:r>
        <w:t>Tender R26BK01645359: 5 item classifications awarded across 2 enterprises (5 winning rows).</w:t>
      </w:r>
    </w:p>
    <w:p>
      <w:pPr>
        <w:pStyle w:val="ListNumber"/>
      </w:pPr>
      <w:r>
        <w:t>Relational Grain Decision:</w:t>
      </w:r>
    </w:p>
    <w:p>
      <w:pPr>
        <w:pStyle w:val="ListBullet"/>
      </w:pPr>
      <w:r>
        <w:t>Winner outcomes cannot be flattened to 1:1; must be modeled as tenders (1) : award_outcomes (0..N).</w:t>
      </w:r>
    </w:p>
    <w:p>
      <w:pPr>
        <w:pStyle w:val="Heading1"/>
      </w:pPr>
      <w:r>
        <w:t>5. Cross-Feed Cardinality</w:t>
      </w:r>
    </w:p>
    <w:p>
      <w:pPr>
        <w:pStyle w:val="Heading2"/>
      </w:pPr>
      <w:r>
        <w:t>5.1 Tender to Bidders (bids to awards)</w:t>
      </w:r>
    </w:p>
    <w:p>
      <w:pPr>
        <w:pStyle w:val="ListBullet"/>
      </w:pPr>
      <w:r>
        <w:t>Distinct bids tenders: 32,895; Distinct awards tenders: 24,978; Overlapping in month: 17,853.</w:t>
      </w:r>
    </w:p>
    <w:p>
      <w:pPr>
        <w:pStyle w:val="ListBullet"/>
      </w:pPr>
      <w:r>
        <w:t>Bidders per Tender Distribution:</w:t>
      </w:r>
    </w:p>
    <w:p>
      <w:pPr>
        <w:pStyle w:val="ListBullet"/>
      </w:pPr>
      <w:r>
        <w:t>Overall Mean: 84.39 bidders (Median: 3.0, Max: 9,675)</w:t>
      </w:r>
    </w:p>
    <w:p>
      <w:pPr>
        <w:pStyle w:val="ListBullet"/>
      </w:pPr>
      <w:r>
        <w:t>Construction: Mean 240.93 (Median: 57.0, Max: 9,675)</w:t>
      </w:r>
    </w:p>
    <w:p>
      <w:pPr>
        <w:pStyle w:val="ListBullet"/>
      </w:pPr>
      <w:r>
        <w:t>Goods: Mean 37.02 (Median: 2.0, Max: 6,052)</w:t>
      </w:r>
    </w:p>
    <w:p>
      <w:pPr>
        <w:pStyle w:val="ListBullet"/>
      </w:pPr>
      <w:r>
        <w:t>Service: Mean 15.37 (Median: 2.0, Max: 2,297)</w:t>
      </w:r>
    </w:p>
    <w:p>
      <w:pPr>
        <w:pStyle w:val="ListBullet"/>
      </w:pPr>
      <w:r>
        <w:t>Foreign: Mean 1.19 (Median: 1.0, Max: 4)</w:t>
      </w:r>
    </w:p>
    <w:p>
      <w:pPr>
        <w:pStyle w:val="Heading2"/>
      </w:pPr>
      <w:r>
        <w:t>5.2 Tender to Contracts (bids to contracts)</w:t>
      </w:r>
    </w:p>
    <w:p>
      <w:pPr>
        <w:pStyle w:val="ListBullet"/>
      </w:pPr>
      <w:r>
        <w:t>Total August contracts: 115,945 rows</w:t>
      </w:r>
    </w:p>
    <w:p>
      <w:pPr>
        <w:pStyle w:val="ListBullet"/>
      </w:pPr>
      <w:r>
        <w:t>Contracts with Notice ID: 40,677 rows (35.08%)</w:t>
      </w:r>
    </w:p>
    <w:p>
      <w:pPr>
        <w:pStyle w:val="ListBullet"/>
      </w:pPr>
      <w:r>
        <w:t>Contracts without Notice ID: 75,268 rows (64.92%)</w:t>
      </w:r>
    </w:p>
    <w:p>
      <w:pPr>
        <w:pStyle w:val="ListBullet"/>
      </w:pPr>
      <w:r>
        <w:t>Nuanced Breakdown of Unlinked Contracts:</w:t>
      </w:r>
    </w:p>
    <w:p>
      <w:pPr>
        <w:pStyle w:val="ListBullet"/>
      </w:pPr>
      <w:r>
        <w:t>Private Contracts (contract_method == '수의계약'): 72,418 rows (96.21%) — Direct/sole-source procurement without electronic public notice.</w:t>
      </w:r>
    </w:p>
    <w:p>
      <w:pPr>
        <w:pStyle w:val="ListBullet"/>
      </w:pPr>
      <w:r>
        <w:t>Off-Notice Competitive Contracts: 2,850 rows (3.79%) — Competitive bids conducted externally with only contract execution filed on KONEPS.</w:t>
      </w:r>
    </w:p>
    <w:p>
      <w:pPr>
        <w:pStyle w:val="ListBullet"/>
      </w:pPr>
      <w:r>
        <w:t>Tender Contract Frequency:</w:t>
      </w:r>
    </w:p>
    <w:p>
      <w:pPr>
        <w:pStyle w:val="ListBullet"/>
      </w:pPr>
      <w:r>
        <w:t>0 Contracts: 23,996 tenders (concluded later or failed)</w:t>
      </w:r>
    </w:p>
    <w:p>
      <w:pPr>
        <w:pStyle w:val="ListBullet"/>
      </w:pPr>
      <w:r>
        <w:t>1 Contract: 8,691 tenders</w:t>
      </w:r>
    </w:p>
    <w:p>
      <w:pPr>
        <w:pStyle w:val="ListBullet"/>
      </w:pPr>
      <w:r>
        <w:t>2+ Contracts: 208 tenders (split/multi-contract tenders)</w:t>
      </w:r>
    </w:p>
    <w:p>
      <w:pPr>
        <w:pStyle w:val="Heading2"/>
      </w:pPr>
      <w:r>
        <w:t>5.3 Contract Key Integrity</w:t>
      </w:r>
    </w:p>
    <w:p>
      <w:pPr>
        <w:pStyle w:val="ListBullet"/>
      </w:pPr>
      <w:r>
        <w:t>unified_contract_no: 115,945 rows 100.0% strictly unique (0 nulls, 0 duplicates).</w:t>
      </w:r>
    </w:p>
    <w:p>
      <w:pPr>
        <w:pStyle w:val="Heading2"/>
      </w:pPr>
      <w:r>
        <w:t>5.4 Supplier &amp; Agency Dimensions</w:t>
      </w:r>
    </w:p>
    <w:p>
      <w:pPr>
        <w:pStyle w:val="ListBullet"/>
      </w:pPr>
      <w:r>
        <w:t>Suppliers: 143,842 unique 10-digit enterprises (123,777 bidders, 13,376 winners, 59,233 contractors). Winner-to-contract match rate: 85.0% (11,370 matching enterprises).</w:t>
      </w:r>
    </w:p>
    <w:p>
      <w:pPr>
        <w:pStyle w:val="ListBullet"/>
      </w:pPr>
      <w:r>
        <w:t>Agencies: 14,091 unique public bodies identified across all feeds.</w:t>
      </w:r>
    </w:p>
    <w:p>
      <w:pPr>
        <w:pStyle w:val="Heading1"/>
      </w:pPr>
      <w:r>
        <w:t>6. Pagination Integrity Audit</w:t>
      </w:r>
    </w:p>
    <w:p>
      <w:r>
        <w:t>Based on empirical analysis of the preserved raw stream, items are strictly classified:</w:t>
      </w:r>
    </w:p>
    <w:p>
      <w:pPr>
        <w:pStyle w:val="ListNumber"/>
      </w:pPr>
      <w:r>
        <w:t>Retroactively Verified:</w:t>
      </w:r>
    </w:p>
    <w:p>
      <w:pPr>
        <w:pStyle w:val="ListBullet"/>
      </w:pPr>
      <w:r>
        <w:t>Immediately Consecutive Identical Raw Lines: 7,901 rows (associated with failed/unbid tender notices spanning daily collection boundaries).</w:t>
      </w:r>
    </w:p>
    <w:p>
      <w:pPr>
        <w:pStyle w:val="ListBullet"/>
      </w:pPr>
      <w:r>
        <w:t>Raw Row Count vs. Manifest Accounting: 100.0% match (2,268,948 raw rows exactly match 2,268,948 manifest rows).</w:t>
      </w:r>
    </w:p>
    <w:p>
      <w:pPr>
        <w:pStyle w:val="ListBullet"/>
      </w:pPr>
      <w:r>
        <w:t>Event Date Boundary Scope Enforcement: All records strictly verified within 2026-08-01 to 2026-08-31.</w:t>
      </w:r>
    </w:p>
    <w:p>
      <w:pPr>
        <w:pStyle w:val="ListNumber"/>
      </w:pPr>
      <w:r>
        <w:t>Not Retroactively Verifiable from Raw Streams:</w:t>
      </w:r>
    </w:p>
    <w:p>
      <w:pPr>
        <w:pStyle w:val="ListBullet"/>
      </w:pPr>
      <w:r>
        <w:t>True Adjacent Page Overlap: Page index boundaries were not recorded as stream delimiters.</w:t>
      </w:r>
    </w:p>
    <w:p>
      <w:pPr>
        <w:pStyle w:val="ListBullet"/>
      </w:pPr>
      <w:r>
        <w:t>Per-Page SHA-256 Hash Repetition: Page boundary fingerprints were not stored in the raw stream.</w:t>
      </w:r>
    </w:p>
    <w:p>
      <w:pPr>
        <w:pStyle w:val="ListBullet"/>
      </w:pPr>
      <w:r>
        <w:t>First/Last Record Fingerprint Collisions: Per-page boundary records were not captured separately.</w:t>
      </w:r>
    </w:p>
    <w:p>
      <w:pPr>
        <w:pStyle w:val="ListBullet"/>
      </w:pPr>
      <w:r>
        <w:t>Upstream API totalCount Midstream Drift: Envelope-level counts were not preserved per row.</w:t>
      </w:r>
    </w:p>
    <w:p>
      <w:pPr>
        <w:pStyle w:val="ListBullet"/>
      </w:pPr>
      <w:r>
        <w:t>Page Number Loops: Midstream pagination loop states were not logged.</w:t>
      </w:r>
    </w:p>
    <w:p>
      <w:pPr>
        <w:pStyle w:val="ListNumber"/>
      </w:pPr>
      <w:r>
        <w:t>Observability Enhancements for Future Collections:</w:t>
      </w:r>
    </w:p>
    <w:p>
      <w:pPr>
        <w:pStyle w:val="ListBullet"/>
      </w:pPr>
      <w:r>
        <w:t>The collection engine (Collector) now incorporates verifiable page receipt hooks (generate_page_receipt), recording run_id, attempt_id, page SHA-256 hashes, totalCount snapshots, and boundary record fingerprints to data/logs/page_receipts/.</w:t>
      </w:r>
    </w:p>
    <w:p>
      <w:pPr>
        <w:pStyle w:val="Heading1"/>
      </w:pPr>
      <w:r>
        <w:t>7. Storage Footprint</w:t>
      </w:r>
    </w:p>
    <w:p>
      <w:pPr>
        <w:pStyle w:val="ListBullet"/>
      </w:pPr>
      <w:r>
        <w:t>Raw Gzip Compressed (data/raw/*.jsonl.gz): 131,322,271 bytes (125.24 MiB / 131.32 MB)</w:t>
      </w:r>
    </w:p>
    <w:p>
      <w:pPr>
        <w:pStyle w:val="ListBullet"/>
      </w:pPr>
      <w:r>
        <w:t>Normalized Parquet (data/processed/*.parquet): 148,156,166 bytes (141.29 MiB / 148.16 MB)</w:t>
      </w:r>
    </w:p>
    <w:p>
      <w:pPr>
        <w:pStyle w:val="ListBullet"/>
      </w:pPr>
      <w:r>
        <w:t>Capacity Measurement Standards: Exact bytes serve as the canonical source of truth. Binary mebibytes (MiB, 2^{20 bytes) and decimal megabytes (MB, 10^6 bytes) are explicitly distinguished and never conflated.</w:t>
      </w:r>
    </w:p>
    <w:p>
      <w:pPr>
        <w:pStyle w:val="ListBullet"/>
      </w:pPr>
      <w:r>
        <w:t>Storage Efficiency: ~2.8 GB of uncompressed raw JSON across 2.26 million records is efficiently stored in columnar Parquet format (Zstandard compression).</w:t>
      </w:r>
    </w:p>
    <w:p>
      <w:pPr>
        <w:pStyle w:val="Heading1"/>
      </w:pPr>
      <w:r>
        <w:t>8. Curated Relational Tables Construction and Validation</w:t>
      </w:r>
    </w:p>
    <w:p>
      <w:r>
        <w:t>From the August 2026 pilot dataset, a normalized relational model consisting of 7 physical curated tables (CURATED_SCHEMA_VERSION = "1.1.0") was successfully generated in data/processed/curated/2026_08/ with Zstandard compression.</w:t>
      </w:r>
    </w:p>
    <w:p>
      <w:pPr>
        <w:pStyle w:val="Heading2"/>
      </w:pPr>
      <w:r>
        <w:t>8.1 Curated Table Dimensions and Key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Table File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Row Count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Physical Primary Key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Compressed Size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Business Grain &amp; Role</w:t>
            </w:r>
          </w:p>
        </w:tc>
      </w:tr>
      <w:tr>
        <w:tc>
          <w:tcPr>
            <w:tcW w:type="dxa" w:w="1560"/>
          </w:tcPr>
          <w:p>
            <w:r>
              <w:t>01_tenders.parquet</w:t>
            </w:r>
          </w:p>
        </w:tc>
        <w:tc>
          <w:tcPr>
            <w:tcW w:type="dxa" w:w="1560"/>
          </w:tcPr>
          <w:p>
            <w:r>
              <w:t>32,895</w:t>
            </w:r>
          </w:p>
        </w:tc>
        <w:tc>
          <w:tcPr>
            <w:tcW w:type="dxa" w:w="1560"/>
          </w:tcPr>
          <w:p>
            <w:r>
              <w:t>(bid_notice_no, bid_notice_round)</w:t>
            </w:r>
          </w:p>
        </w:tc>
        <w:tc>
          <w:tcPr>
            <w:tcW w:type="dxa" w:w="156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~2.0 MiB</w:t>
            </w:r>
          </w:p>
        </w:tc>
        <w:tc>
          <w:tcPr>
            <w:tcW w:type="dxa" w:w="1560"/>
          </w:tcPr>
          <w:p>
            <w:r>
              <w:t>Single tender notice master (100% unique)</w:t>
            </w:r>
          </w:p>
        </w:tc>
      </w:tr>
      <w:tr>
        <w:tc>
          <w:tcPr>
            <w:tcW w:type="dxa" w:w="1560"/>
          </w:tcPr>
          <w:p>
            <w:r>
              <w:t>02_bidder_submissions.parquet</w:t>
            </w:r>
          </w:p>
        </w:tc>
        <w:tc>
          <w:tcPr>
            <w:tcW w:type="dxa" w:w="1560"/>
          </w:tcPr>
          <w:p>
            <w:r>
              <w:t>2,107,948</w:t>
            </w:r>
          </w:p>
        </w:tc>
        <w:tc>
          <w:tcPr>
            <w:tcW w:type="dxa" w:w="1560"/>
          </w:tcPr>
          <w:p>
            <w:r>
              <w:t>bid_submission_id (BID_&lt;32 hex&gt;)</w:t>
            </w:r>
          </w:p>
        </w:tc>
        <w:tc>
          <w:tcPr>
            <w:tcW w:type="dxa" w:w="1560"/>
          </w:tcPr>
          <w:p>
            <w:r>
              <w:t>29</w:t>
            </w:r>
          </w:p>
        </w:tc>
        <w:tc>
          <w:tcPr>
            <w:tcW w:type="dxa" w:w="1560"/>
          </w:tcPr>
          <w:p>
            <w:r>
              <w:t>~96 MiB</w:t>
            </w:r>
          </w:p>
        </w:tc>
        <w:tc>
          <w:tcPr>
            <w:tcW w:type="dxa" w:w="1560"/>
          </w:tcPr>
          <w:p>
            <w:r>
              <w:t>Individual bidder submission records (canonical JSON surrogate)</w:t>
            </w:r>
          </w:p>
        </w:tc>
      </w:tr>
      <w:tr>
        <w:tc>
          <w:tcPr>
            <w:tcW w:type="dxa" w:w="1560"/>
          </w:tcPr>
          <w:p>
            <w:r>
              <w:t>03_award_outcomes.parquet</w:t>
            </w:r>
          </w:p>
        </w:tc>
        <w:tc>
          <w:tcPr>
            <w:tcW w:type="dxa" w:w="1560"/>
          </w:tcPr>
          <w:p>
            <w:r>
              <w:t>17,315</w:t>
            </w:r>
          </w:p>
        </w:tc>
        <w:tc>
          <w:tcPr>
            <w:tcW w:type="dxa" w:w="1560"/>
          </w:tcPr>
          <w:p>
            <w:r>
              <w:t>award_outcome_id (AWD_&lt;32 hex&gt;)</w:t>
            </w:r>
          </w:p>
        </w:tc>
        <w:tc>
          <w:tcPr>
            <w:tcW w:type="dxa" w:w="1560"/>
          </w:tcPr>
          <w:p>
            <w:r>
              <w:t>26</w:t>
            </w:r>
          </w:p>
        </w:tc>
        <w:tc>
          <w:tcPr>
            <w:tcW w:type="dxa" w:w="1560"/>
          </w:tcPr>
          <w:p>
            <w:r>
              <w:t>~2.0 MiB</w:t>
            </w:r>
          </w:p>
        </w:tc>
        <w:tc>
          <w:tcPr>
            <w:tcW w:type="dxa" w:w="1560"/>
          </w:tcPr>
          <w:p>
            <w:r>
              <w:t>Final award outcomes (all selected winners)</w:t>
            </w:r>
          </w:p>
        </w:tc>
      </w:tr>
      <w:tr>
        <w:tc>
          <w:tcPr>
            <w:tcW w:type="dxa" w:w="1560"/>
          </w:tcPr>
          <w:p>
            <w:r>
              <w:t>04_contracts.parquet</w:t>
            </w:r>
          </w:p>
        </w:tc>
        <w:tc>
          <w:tcPr>
            <w:tcW w:type="dxa" w:w="1560"/>
          </w:tcPr>
          <w:p>
            <w:r>
              <w:t>115,945</w:t>
            </w:r>
          </w:p>
        </w:tc>
        <w:tc>
          <w:tcPr>
            <w:tcW w:type="dxa" w:w="1560"/>
          </w:tcPr>
          <w:p>
            <w:r>
              <w:t>unified_contract_no</w:t>
            </w:r>
          </w:p>
        </w:tc>
        <w:tc>
          <w:tcPr>
            <w:tcW w:type="dxa" w:w="1560"/>
          </w:tcPr>
          <w:p>
            <w:r>
              <w:t>25</w:t>
            </w:r>
          </w:p>
        </w:tc>
        <w:tc>
          <w:tcPr>
            <w:tcW w:type="dxa" w:w="1560"/>
          </w:tcPr>
          <w:p>
            <w:r>
              <w:t>~10.2 MiB</w:t>
            </w:r>
          </w:p>
        </w:tc>
        <w:tc>
          <w:tcPr>
            <w:tcW w:type="dxa" w:w="1560"/>
          </w:tcPr>
          <w:p>
            <w:r>
              <w:t>Unified government contract master (100% unique)</w:t>
            </w:r>
          </w:p>
        </w:tc>
      </w:tr>
      <w:tr>
        <w:tc>
          <w:tcPr>
            <w:tcW w:type="dxa" w:w="1560"/>
          </w:tcPr>
          <w:p>
            <w:r>
              <w:t>05_suppliers.parquet</w:t>
            </w:r>
          </w:p>
        </w:tc>
        <w:tc>
          <w:tcPr>
            <w:tcW w:type="dxa" w:w="1560"/>
          </w:tcPr>
          <w:p>
            <w:r>
              <w:t>143,842</w:t>
            </w:r>
          </w:p>
        </w:tc>
        <w:tc>
          <w:tcPr>
            <w:tcW w:type="dxa" w:w="1560"/>
          </w:tcPr>
          <w:p>
            <w:r>
              <w:t>supplier_id (SUP_&lt;32 hex&gt;)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~4.3 MiB</w:t>
            </w:r>
          </w:p>
        </w:tc>
        <w:tc>
          <w:tcPr>
            <w:tcW w:type="dxa" w:w="1560"/>
          </w:tcPr>
          <w:p>
            <w:r>
              <w:t>Supplier dimension (public identity = supplier_id only)</w:t>
            </w:r>
          </w:p>
        </w:tc>
      </w:tr>
      <w:tr>
        <w:tc>
          <w:tcPr>
            <w:tcW w:type="dxa" w:w="1560"/>
          </w:tcPr>
          <w:p>
            <w:r>
              <w:t>06_agencies.parquet</w:t>
            </w:r>
          </w:p>
        </w:tc>
        <w:tc>
          <w:tcPr>
            <w:tcW w:type="dxa" w:w="1560"/>
          </w:tcPr>
          <w:p>
            <w:r>
              <w:t>14,091</w:t>
            </w:r>
          </w:p>
        </w:tc>
        <w:tc>
          <w:tcPr>
            <w:tcW w:type="dxa" w:w="1560"/>
          </w:tcPr>
          <w:p>
            <w:r>
              <w:t>agency_code</w:t>
            </w:r>
          </w:p>
        </w:tc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~0.21 MiB</w:t>
            </w:r>
          </w:p>
        </w:tc>
        <w:tc>
          <w:tcPr>
            <w:tcW w:type="dxa" w:w="1560"/>
          </w:tcPr>
          <w:p>
            <w:r>
              <w:t>Contracting &amp; demanding agency 7-digit dimension</w:t>
            </w:r>
          </w:p>
        </w:tc>
      </w:tr>
      <w:tr>
        <w:tc>
          <w:tcPr>
            <w:tcW w:type="dxa" w:w="1560"/>
          </w:tcPr>
          <w:p>
            <w:r>
              <w:t>07_tender_contract_bridge.parquet</w:t>
            </w:r>
          </w:p>
        </w:tc>
        <w:tc>
          <w:tcPr>
            <w:tcW w:type="dxa" w:w="1560"/>
          </w:tcPr>
          <w:p>
            <w:r>
              <w:t>40,677</w:t>
            </w:r>
          </w:p>
        </w:tc>
        <w:tc>
          <w:tcPr>
            <w:tcW w:type="dxa" w:w="1560"/>
          </w:tcPr>
          <w:p>
            <w:r>
              <w:t>unified_contract_no</w:t>
            </w:r>
          </w:p>
        </w:tc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~0.71 MiB</w:t>
            </w:r>
          </w:p>
        </w:tc>
        <w:tc>
          <w:tcPr>
            <w:tcW w:type="dxa" w:w="1560"/>
          </w:tcPr>
          <w:p>
            <w:r>
              <w:t>Tender-to-contract mapping bridge (linked contracts only)</w:t>
            </w:r>
          </w:p>
        </w:tc>
      </w:tr>
      <w:tr>
        <w:tc>
          <w:tcPr>
            <w:tcW w:type="dxa" w:w="1560"/>
          </w:tcPr>
          <w:p>
            <w:r>
              <w:t>Total Curated</w:t>
            </w:r>
          </w:p>
        </w:tc>
        <w:tc>
          <w:tcPr>
            <w:tcW w:type="dxa" w:w="1560"/>
          </w:tcPr>
          <w:p>
            <w:r>
              <w:t>2,472,713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~115 MiB</w:t>
            </w:r>
          </w:p>
        </w:tc>
        <w:tc>
          <w:tcPr>
            <w:tcW w:type="dxa" w:w="1560"/>
          </w:tcPr>
          <w:p>
            <w:r>
              <w:t>All 7 tables passed full integrity gates</w:t>
            </w:r>
          </w:p>
        </w:tc>
      </w:tr>
    </w:tbl>
    <w:p/>
    <w:p>
      <w:pPr>
        <w:pStyle w:val="Heading2"/>
      </w:pPr>
      <w:r>
        <w:t>8.2 Mathematical Reconciliation Gates</w:t>
      </w:r>
    </w:p>
    <w:p>
      <w:pPr>
        <w:pStyle w:val="ListBullet"/>
      </w:pPr>
      <w:r>
        <w:t>Tender Count Match: len(tenders) == 32,895 (Pass)</w:t>
      </w:r>
    </w:p>
    <w:p>
      <w:pPr>
        <w:pStyle w:val="ListBullet"/>
      </w:pPr>
      <w:r>
        <w:t>Bidder Submissions Count Match: len(bidder_submissions) == 2,107,948 (Pass)</w:t>
      </w:r>
    </w:p>
    <w:p>
      <w:pPr>
        <w:pStyle w:val="ListBullet"/>
      </w:pPr>
      <w:r>
        <w:t>Award Outcomes Count Match: len(award_outcomes) == 17,315 (Pass)</w:t>
      </w:r>
    </w:p>
    <w:p>
      <w:pPr>
        <w:pStyle w:val="ListBullet"/>
      </w:pPr>
      <w:r>
        <w:t>Contracts Count Match: len(contracts) == 115,945 (Pass)</w:t>
      </w:r>
    </w:p>
    <w:p>
      <w:pPr>
        <w:pStyle w:val="ListBullet"/>
      </w:pPr>
      <w:r>
        <w:t>Linked Contracts Bridge Match: len(tender_contract_bridge) == 40,677 (Pass)</w:t>
      </w:r>
    </w:p>
    <w:p>
      <w:pPr>
        <w:pStyle w:val="ListBullet"/>
      </w:pPr>
      <w:r>
        <w:t>Unlinked Contracts Preservation: len(contracts) - len(bridge) == 75,268 (Pass)</w:t>
      </w:r>
    </w:p>
    <w:p>
      <w:pPr>
        <w:pStyle w:val="ListBullet"/>
      </w:pPr>
      <w:r>
        <w:t>Unique Suppliers Count Match: len(suppliers) == 143,842 (Pass)</w:t>
      </w:r>
    </w:p>
    <w:p>
      <w:pPr>
        <w:pStyle w:val="ListBullet"/>
      </w:pPr>
      <w:r>
        <w:t>Unique Agencies Count Match: len(agencies) == 14,091 (Pass)</w:t>
      </w:r>
    </w:p>
    <w:p>
      <w:pPr>
        <w:pStyle w:val="ListBullet"/>
      </w:pPr>
      <w:r>
        <w:t>All Primary Keys Unique and Non-Null: Zero nulls and zero duplicates verified across all 7 tables (all_reconciliation_gates_passed: true).</w:t>
      </w:r>
    </w:p>
    <w:p>
      <w:pPr>
        <w:pStyle w:val="Heading2"/>
      </w:pPr>
      <w:r>
        <w:t>8.3 Award Amount Null Forensics (24 Cases) &amp; Imputation Policy</w:t>
      </w:r>
    </w:p>
    <w:p>
      <w:pPr>
        <w:pStyle w:val="ListBullet"/>
      </w:pPr>
      <w:r>
        <w:t>Observation: Exactly 24 rows out of 17,315 winners (0.14%) have NULL award_amount_krw.</w:t>
      </w:r>
    </w:p>
    <w:p>
      <w:pPr>
        <w:pStyle w:val="ListBullet"/>
      </w:pPr>
      <w:r>
        <w:t>Cause Classification: OBSERVED (not INFERRED) — the NULL was present in the raw API snapshot at collection time. Post-opening administrative processing is a plausible explanation but has not been proven from source field data alone.</w:t>
      </w:r>
    </w:p>
    <w:p>
      <w:pPr>
        <w:pStyle w:val="ListBullet"/>
      </w:pPr>
      <w:r>
        <w:t>Forensic Breakdown:</w:t>
      </w:r>
    </w:p>
    <w:p>
      <w:pPr>
        <w:pStyle w:val="ListBullet"/>
      </w:pPr>
      <w:r>
        <w:t>Rank distribution: Rank 1 (23 rows), Rank 19 (1 row).</w:t>
      </w:r>
    </w:p>
    <w:p>
      <w:pPr>
        <w:pStyle w:val="ListBullet"/>
      </w:pPr>
      <w:r>
        <w:t>Award method: Qualification review (21 rows), lowest price (1 row), small-sum private contract (1 row), other (1 row).</w:t>
      </w:r>
    </w:p>
    <w:p>
      <w:pPr>
        <w:pStyle w:val="ListBullet"/>
      </w:pPr>
      <w:r>
        <w:t>Imputation Policy (DO NOT IMPUTE): These 24 values are strictly preserved as NULL. The surrogate key award_outcome_id (AWD_&lt;32 hex&gt;) guarantees complete uniqueness regardless of amount nullability.</w:t>
      </w:r>
    </w:p>
    <w:p>
      <w:pPr>
        <w:pStyle w:val="Heading2"/>
      </w:pPr>
      <w:r>
        <w:t>8.4 Temporal Foreign Key Tracking (tender_in_scope)</w:t>
      </w:r>
    </w:p>
    <w:p>
      <w:r>
        <w:t>Due to monthly boundary effects, some submissions opened or contracts executed in August reference tenders issued in July or earlier. These rows are not data-quality errors — they are labeled TEMPORAL_SCOPE_UNMATCHED to make the distinction explicit:</w:t>
      </w:r>
    </w:p>
    <w:p>
      <w:pPr>
        <w:pStyle w:val="ListBullet"/>
      </w:pPr>
      <w:r>
        <w:t>bidder_submissions: August notice linked 1,569,500 rows (74.46%), prior notice linked 538,448 rows (25.54%) [TEMPORAL_SCOPE_UNMATCHED]</w:t>
      </w:r>
    </w:p>
    <w:p>
      <w:pPr>
        <w:pStyle w:val="ListBullet"/>
      </w:pPr>
      <w:r>
        <w:t>award_outcomes: August notice linked 12,918 rows (74.61%), prior notice linked 4,397 rows (25.39%) [TEMPORAL_SCOPE_UNMATCHED]</w:t>
      </w:r>
    </w:p>
    <w:p>
      <w:pPr>
        <w:pStyle w:val="ListBullet"/>
      </w:pPr>
      <w:r>
        <w:t>tender_contract_bridge: August notice linked 9,138 rows (22.46%), prior notice linked 31,539 rows (77.54%) [TEMPORAL_SCOPE_UNMATCHED]</w:t>
      </w:r>
    </w:p>
    <w:p>
      <w:pPr>
        <w:pStyle w:val="ListBullet"/>
      </w:pPr>
      <w:r>
        <w:t>The tender_in_scope: bool flag explicitly tracks temporal membership, ensuring join safety for intra-month studies while preserving complete longitudinal integrity.</w:t>
      </w:r>
    </w:p>
    <w:p>
      <w:pPr>
        <w:pStyle w:val="Heading2"/>
      </w:pPr>
      <w:r>
        <w:t>8.5 Privacy Boundary &amp; Public Identity Policy</w:t>
      </w:r>
    </w:p>
    <w:p>
      <w:pPr>
        <w:pStyle w:val="ListBullet"/>
      </w:pPr>
      <w:r>
        <w:t>Raw 10-digit business registration numbers (bidprcCorpBizrno, fnlSucsfCorpBizrno, rprsntCorpBizrno), representative/CEO names, telephone numbers, email addresses, and detailed street addresses have been completely purged from all 7 curated tables (verified by automated forbidden-column gate).</w:t>
      </w:r>
    </w:p>
    <w:p>
      <w:pPr>
        <w:pStyle w:val="ListBullet"/>
      </w:pPr>
      <w:r>
        <w:t>Public supplier identity is supplier_id only. The previous masked_biz_no column (e.g. 123-45-*) has been removed from publishable curated output as there is no demonstrated analytical requirement for it in the public release.</w:t>
      </w:r>
    </w:p>
    <w:p>
      <w:pPr>
        <w:pStyle w:val="ListBullet"/>
      </w:pPr>
      <w:r>
        <w:t>Company names (supplier_name_ko, contractor_name_ko, etc.) remain in curated tables as publicly available corporate trade names from KONEPS announcements. However, final privacy and licensing review is required before Kaggle publication.</w:t>
      </w:r>
    </w:p>
    <w:p>
      <w:pPr>
        <w:pStyle w:val="ListBullet"/>
      </w:pPr>
      <w:r>
        <w:t>Supplier identities are pseudonymized via HMAC-SHA256 to supplier_id (SUP_&lt;32 hex&gt;).</w:t>
      </w:r>
    </w:p>
    <w:p>
      <w:pPr>
        <w:pStyle w:val="Heading2"/>
      </w:pPr>
      <w:r>
        <w:t>8.6 Canonical Surrogate ID Serialization</w:t>
      </w:r>
    </w:p>
    <w:p>
      <w:pPr>
        <w:pStyle w:val="ListBullet"/>
      </w:pPr>
      <w:r>
        <w:t>Motivation: The previous pipe-delimiter (|) string concatenation had a theoretical field-boundary ambiguity risk.</w:t>
      </w:r>
    </w:p>
    <w:p>
      <w:pPr>
        <w:pStyle w:val="ListBullet"/>
      </w:pPr>
      <w:r>
        <w:t>Current approach (CURATED_SCHEMA_VERSION = "1.1.0"): Structured canonical JSON serialization (entity, version, explicit field names, explicit NULL sentinel "__NULL__", sorted keys) guarantees that the same semantic row always produces the same ID regardless of input ordering.</w:t>
      </w:r>
    </w:p>
    <w:p>
      <w:pPr>
        <w:pStyle w:val="ListBullet"/>
      </w:pPr>
      <w:r>
        <w:t>Shuffle-invariance regression tests: Verified automatically in tests/test_curate_hardening.py — shuffling input row order must not change the resulting ID set.</w:t>
      </w:r>
    </w:p>
    <w:p>
      <w:pPr>
        <w:pStyle w:val="Heading2"/>
      </w:pPr>
      <w:r>
        <w:t>8.7 Dimension Snapshot Statistics (Explicit Namespacing)</w:t>
      </w:r>
    </w:p>
    <w:p>
      <w:pPr>
        <w:pStyle w:val="ListBullet"/>
      </w:pPr>
      <w:r>
        <w:t>Aggregate statistics in 05_suppliers (e.g. total_bids_in_scope) are time-window snapshots, not stable entity identity attributes.</w:t>
      </w:r>
    </w:p>
    <w:p>
      <w:pPr>
        <w:pStyle w:val="ListBullet"/>
      </w:pPr>
      <w:r>
        <w:t>All such columns now carry the snapshot_ prefix: snapshot_total_bids_in_scope, snapshot_total_wins_in_scope, snapshot_total_contracts_in_scope, snapshot_total_contract_amount_krw.</w:t>
      </w:r>
    </w:p>
    <w:p>
      <w:pPr>
        <w:pStyle w:val="ListBullet"/>
      </w:pPr>
      <w:r>
        <w:t>These columns must NOT be used directly as leak-free historical ML features.</w:t>
      </w:r>
    </w:p>
    <w:p>
      <w:pPr>
        <w:pStyle w:val="Heading2"/>
      </w:pPr>
      <w:r>
        <w:t>8.8 Deterministic Name Resolution</w:t>
      </w:r>
    </w:p>
    <w:p>
      <w:pPr>
        <w:pStyle w:val="ListBullet"/>
      </w:pPr>
      <w:r>
        <w:t>When multiple names are observed for the same business registration number across feeds, the most-frequent normalized name with lexicographic tie-break policy is applied deterministically.</w:t>
      </w:r>
    </w:p>
    <w:p>
      <w:pPr>
        <w:pStyle w:val="ListBullet"/>
      </w:pPr>
      <w:r>
        <w:t>Name conflict counts are recorded as aggregate metrics only (name_conflict_count); no per-record examples are included in public metrics.</w:t>
      </w:r>
    </w:p>
    <w:p>
      <w:pPr>
        <w:pStyle w:val="Heading2"/>
      </w:pPr>
      <w:r>
        <w:t>8.9 Collector Error Sanitization</w:t>
      </w:r>
    </w:p>
    <w:p>
      <w:pPr>
        <w:pStyle w:val="ListBullet"/>
      </w:pPr>
      <w:r>
        <w:t>The error field in attempt summary receipts stores only the exception class name (e.g. "ValueError", "RuntimeError").</w:t>
      </w:r>
    </w:p>
    <w:p>
      <w:pPr>
        <w:pStyle w:val="ListBullet"/>
      </w:pPr>
      <w:r>
        <w:t>Full exception messages — which may contain service keys, request URLs, query parameters, or server response bodies — are never written to page_receipts JSONL.</w:t>
      </w:r>
    </w:p>
    <w:p>
      <w:pPr>
        <w:pStyle w:val="ListBullet"/>
      </w:pPr>
      <w:r>
        <w:t>Regression test tests/test_curate_hardening.py::TestSanitizedExceptionReceipts verifies that a fake secret embedded in an exception message never appears in receipt 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