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South Korea Public Procurement Relational Model Specification</w:t>
      </w:r>
    </w:p>
    <w:p>
      <w:r>
        <w:t>한국어 | English</w:t>
      </w:r>
    </w:p>
    <w:p>
      <w:r>
        <w:t>This document establishes the official relational schema architecture for KONEPS (Korea ON-line E-Procurement System) public procurement data, derived empirically from live API feeds (bids, awards, contracts).</w:t>
      </w:r>
    </w:p>
    <w:p>
      <w:pPr>
        <w:pStyle w:val="Heading1"/>
      </w:pPr>
      <w:r>
        <w:t>1. Background &amp; Core Architectural Principles</w:t>
      </w:r>
    </w:p>
    <w:p>
      <w:r>
        <w:t>Empirical analysis from the August 2026 pilot dataset (~2.26 million raw records) established several fundamental structural characteristics:</w:t>
      </w:r>
    </w:p>
    <w:p>
      <w:pPr>
        <w:pStyle w:val="ListNumber"/>
      </w:pPr>
      <w:r>
        <w:t>Extreme 1:N Tender-to-Bidder Submissions: A single tender announcement attracts dozens to thousands of competing suppliers (average 240.9 bidders in construction; maximum 9,675 bidders for a single tender). The awards API feed (getDataSetOpnStdScsbidInfo) directly captures individual bidder submissions.</w:t>
      </w:r>
    </w:p>
    <w:p>
      <w:pPr>
        <w:pStyle w:val="ListNumber"/>
      </w:pPr>
      <w:r>
        <w:t>Multi-Lot &amp; Multi-Winner Reality: Procurement tenders frequently split across multiple lots, classifications, or joint arrangements (40 tenders in August had 2+ winning bidders). The awards feed cannot be coerced into a simplistic 1:1 table without loss of information.</w:t>
      </w:r>
    </w:p>
    <w:p>
      <w:pPr>
        <w:pStyle w:val="ListNumber"/>
      </w:pPr>
      <w:r>
        <w:t>Tender-to-Contract Asymmetry: Only 35.08% of contracts link directly to a tender announcement identifier. The remaining 64.92% are predominantly private/direct contracts (96.21%) and off-notice competitive contracts (3.79%).</w:t>
      </w:r>
    </w:p>
    <w:p>
      <w:pPr>
        <w:pStyle w:val="ListNumber"/>
      </w:pPr>
      <w:r>
        <w:t>Fan-Out Prevention Policy: Flattening all feeds into a monolithic master table results in catastrophic row duplication and severe analytical distortion. We implement a clean star/snowflake relational model connected via an explicit bridge table.</w:t>
      </w:r>
    </w:p>
    <w:p>
      <w:pPr>
        <w:pStyle w:val="Heading1"/>
      </w:pPr>
      <w:r>
        <w:t>2. Conceptual Entity Relationship Diagram (Mermaid)</w:t>
      </w:r>
    </w:p>
    <w:p>
      <w:pPr>
        <w:ind w:left="576"/>
      </w:pPr>
      <w:r>
        <w:rPr>
          <w:rFonts w:ascii="Consolas" w:hAnsi="Consolas"/>
          <w:color w:val="464646"/>
          <w:sz w:val="18"/>
        </w:rPr>
        <w:t>erDiagram</w:t>
        <w:br/>
        <w:t xml:space="preserve">    tenders ||--o{ bidder_submissions : "1 : N (Tender Bids)"</w:t>
        <w:br/>
        <w:t xml:space="preserve">    tenders ||--o{ award_outcomes : "1 : 0..N (Award Decisions)"</w:t>
        <w:br/>
        <w:t xml:space="preserve">    tenders ||--o{ tender_contract_bridge : "1 : 0..N (Notice-Contract Link)"</w:t>
        <w:br/>
        <w:t xml:space="preserve">    contracts ||--o{ tender_contract_bridge : "1 : 1 (Contract Mapping)"</w:t>
        <w:br/>
        <w:br/>
        <w:t xml:space="preserve">    suppliers ||--o{ bidder_submissions : "1 : N (Bidding Firm)"</w:t>
        <w:br/>
        <w:t xml:space="preserve">    suppliers ||--o{ award_outcomes : "1 : N (Winning Firm)"</w:t>
        <w:br/>
        <w:t xml:space="preserve">    suppliers ||--o{ contracts : "1 : N (Contracting Firm)"</w:t>
        <w:br/>
        <w:br/>
        <w:t xml:space="preserve">    agencies ||--o{ tenders : "1 : N (Procuring/Demanding Agency)"</w:t>
        <w:br/>
        <w:t xml:space="preserve">    agencies ||--o{ contracts : "1 : N (Contracting/Demanding Agency)"</w:t>
        <w:br/>
        <w:br/>
        <w:t xml:space="preserve">    tenders {</w:t>
        <w:br/>
        <w:t xml:space="preserve">        string bid_notice_no PK</w:t>
        <w:br/>
        <w:t xml:space="preserve">        string bid_notice_round PK</w:t>
        <w:br/>
        <w:t xml:space="preserve">        string bid_notice_name_ko</w:t>
        <w:br/>
        <w:t xml:space="preserve">        string notice_agency_code FK</w:t>
        <w:br/>
        <w:t xml:space="preserve">        string demand_agency_code FK</w:t>
        <w:br/>
        <w:t xml:space="preserve">        timestamp bid_notice_date</w:t>
        <w:br/>
        <w:t xml:space="preserve">        int64 assigned_budget_krw</w:t>
        <w:br/>
        <w:t xml:space="preserve">        int64 estimated_price_krw</w:t>
        <w:br/>
        <w:t xml:space="preserve">        string contract_method_ko</w:t>
        <w:br/>
        <w:t xml:space="preserve">    }</w:t>
        <w:br/>
        <w:br/>
        <w:t xml:space="preserve">    bidder_submissions {</w:t>
        <w:br/>
        <w:t xml:space="preserve">        string bid_submission_id PK "BID_&lt;32 hex&gt;"</w:t>
        <w:br/>
        <w:t xml:space="preserve">        string bid_notice_no FK</w:t>
        <w:br/>
        <w:t xml:space="preserve">        string bid_notice_round FK</w:t>
        <w:br/>
        <w:t xml:space="preserve">        string bidder_supplier_id FK</w:t>
        <w:br/>
        <w:t xml:space="preserve">        boolean tender_in_scope</w:t>
        <w:br/>
        <w:t xml:space="preserve">        double bid_amount_krw</w:t>
        <w:br/>
        <w:t xml:space="preserve">        string bid_submission_time</w:t>
        <w:br/>
        <w:t xml:space="preserve">        double opening_rank</w:t>
        <w:br/>
        <w:t xml:space="preserve">        double bid_rate_pct</w:t>
        <w:br/>
        <w:t xml:space="preserve">        boolean is_selected_winner</w:t>
        <w:br/>
        <w:t xml:space="preserve">        string disqualification_reason_ko</w:t>
        <w:br/>
        <w:t xml:space="preserve">    }</w:t>
        <w:br/>
        <w:br/>
        <w:t xml:space="preserve">    award_outcomes {</w:t>
        <w:br/>
        <w:t xml:space="preserve">        string award_outcome_id PK "AWD_&lt;32 hex&gt;"</w:t>
        <w:br/>
        <w:t xml:space="preserve">        string bid_notice_no FK</w:t>
        <w:br/>
        <w:t xml:space="preserve">        string bid_notice_round FK</w:t>
        <w:br/>
        <w:t xml:space="preserve">        string winner_supplier_id FK</w:t>
        <w:br/>
        <w:t xml:space="preserve">        boolean tender_in_scope</w:t>
        <w:br/>
        <w:t xml:space="preserve">        double award_amount_krw "Nullable (24 rows)"</w:t>
        <w:br/>
        <w:t xml:space="preserve">        double award_rate</w:t>
        <w:br/>
        <w:t xml:space="preserve">        double scheduled_price_krw</w:t>
        <w:br/>
        <w:t xml:space="preserve">        double base_amount_krw</w:t>
        <w:br/>
        <w:t xml:space="preserve">        string award_method_ko</w:t>
        <w:br/>
        <w:t xml:space="preserve">    }</w:t>
        <w:br/>
        <w:br/>
        <w:t xml:space="preserve">    contracts {</w:t>
        <w:br/>
        <w:t xml:space="preserve">        string unified_contract_no PK</w:t>
        <w:br/>
        <w:t xml:space="preserve">        string contract_no</w:t>
        <w:br/>
        <w:t xml:space="preserve">        string contract_round</w:t>
        <w:br/>
        <w:t xml:space="preserve">        string contract_title_ko</w:t>
        <w:br/>
        <w:t xml:space="preserve">        string contract_agency_code FK</w:t>
        <w:br/>
        <w:t xml:space="preserve">        string demand_agency_code FK</w:t>
        <w:br/>
        <w:t xml:space="preserve">        string contractor_supplier_id FK</w:t>
        <w:br/>
        <w:t xml:space="preserve">        timestamp contract_date</w:t>
        <w:br/>
        <w:t xml:space="preserve">        int64 total_contract_amount_krw</w:t>
        <w:br/>
        <w:t xml:space="preserve">        string contract_method_ko</w:t>
        <w:br/>
        <w:t xml:space="preserve">    }</w:t>
        <w:br/>
        <w:br/>
        <w:t xml:space="preserve">    tender_contract_bridge {</w:t>
        <w:br/>
        <w:t xml:space="preserve">        string unified_contract_no PK, FK</w:t>
        <w:br/>
        <w:t xml:space="preserve">        string bid_notice_no FK</w:t>
        <w:br/>
        <w:t xml:space="preserve">        string bid_notice_round FK</w:t>
        <w:br/>
        <w:t xml:space="preserve">        boolean tender_in_scope</w:t>
        <w:br/>
        <w:t xml:space="preserve">    }</w:t>
        <w:br/>
        <w:br/>
        <w:t xml:space="preserve">    suppliers {</w:t>
        <w:br/>
        <w:t xml:space="preserve">        string supplier_id PK "SUP_&lt;32 hex&gt;"</w:t>
        <w:br/>
        <w:t xml:space="preserve">        string masked_biz_no "123-45-*****"</w:t>
        <w:br/>
        <w:t xml:space="preserve">        string supplier_name_ko</w:t>
        <w:br/>
        <w:t xml:space="preserve">        boolean is_bidder</w:t>
        <w:br/>
        <w:t xml:space="preserve">        boolean is_winner</w:t>
        <w:br/>
        <w:t xml:space="preserve">        boolean is_contractor</w:t>
        <w:br/>
        <w:t xml:space="preserve">    }</w:t>
        <w:br/>
        <w:br/>
        <w:t xml:space="preserve">    agencies {</w:t>
        <w:br/>
        <w:t xml:space="preserve">        string agency_code PK</w:t>
        <w:br/>
        <w:t xml:space="preserve">        string agency_name_ko</w:t>
        <w:br/>
        <w:t xml:space="preserve">        boolean is_notice_agency</w:t>
        <w:br/>
        <w:t xml:space="preserve">        boolean is_demand_agency</w:t>
        <w:br/>
        <w:t xml:space="preserve">        boolean is_contract_agency</w:t>
        <w:br/>
        <w:t xml:space="preserve">    }</w:t>
      </w:r>
    </w:p>
    <w:p>
      <w:pPr>
        <w:pStyle w:val="Heading1"/>
      </w:pPr>
      <w:r>
        <w:t>3. Detailed Entities &amp; Grain Specifications</w:t>
      </w:r>
    </w:p>
    <w:p>
      <w:pPr>
        <w:pStyle w:val="Heading2"/>
      </w:pPr>
      <w:r>
        <w:t>3.1 tenders (Tender Announcement Master)</w:t>
      </w:r>
    </w:p>
    <w:p>
      <w:pPr>
        <w:pStyle w:val="ListBullet"/>
      </w:pPr>
      <w:r>
        <w:t>Concept: A distinct procurement tender published by a public entity on KONEPS.</w:t>
      </w:r>
    </w:p>
    <w:p>
      <w:pPr>
        <w:pStyle w:val="ListBullet"/>
      </w:pPr>
      <w:r>
        <w:t>Intended Grain: One tender notice and round (1 row per tender).</w:t>
      </w:r>
    </w:p>
    <w:p>
      <w:pPr>
        <w:pStyle w:val="ListBullet"/>
      </w:pPr>
      <w:r>
        <w:t>Primary Key: (bid_notice_no, bid_notice_round)</w:t>
      </w:r>
    </w:p>
    <w:p>
      <w:pPr>
        <w:pStyle w:val="ListBullet"/>
      </w:pPr>
      <w:r>
        <w:t>Foreign Keys:</w:t>
      </w:r>
    </w:p>
    <w:p>
      <w:pPr>
        <w:pStyle w:val="ListBullet"/>
      </w:pPr>
      <w:r>
        <w:t>notice_agency_code → agencies.agency_code</w:t>
      </w:r>
    </w:p>
    <w:p>
      <w:pPr>
        <w:pStyle w:val="ListBullet"/>
      </w:pPr>
      <w:r>
        <w:t>demand_agency_code → agencies.agency_code</w:t>
      </w:r>
    </w:p>
    <w:p>
      <w:pPr>
        <w:pStyle w:val="ListBullet"/>
      </w:pPr>
      <w:r>
        <w:t>Verification: LIVE VERIFIED (100% unique across all 32,895 rows in August 2026).</w:t>
      </w:r>
    </w:p>
    <w:p>
      <w:pPr>
        <w:pStyle w:val="ListBullet"/>
      </w:pPr>
      <w:r>
        <w:t>Source Feed: bids (getDataSetOpnStdBidPblancInfo).</w:t>
      </w:r>
    </w:p>
    <w:p>
      <w:pPr>
        <w:pStyle w:val="Heading2"/>
      </w:pPr>
      <w:r>
        <w:t>3.2 bidder_submissions (Individual Bidder Submissions)</w:t>
      </w:r>
    </w:p>
    <w:p>
      <w:pPr>
        <w:pStyle w:val="ListBullet"/>
      </w:pPr>
      <w:r>
        <w:t>Concept: A discrete bid submitted by an enterprise for a specific tender.</w:t>
      </w:r>
    </w:p>
    <w:p>
      <w:pPr>
        <w:pStyle w:val="ListBullet"/>
      </w:pPr>
      <w:r>
        <w:t>Physical Primary Key (Surrogate PK): bid_submission_id (BID_&lt;32 hex&gt;) — Deterministic SHA-256 surrogate key computed from the business grain canonical string (2,107,948 rows, 100% unique, 0 nulls).</w:t>
      </w:r>
    </w:p>
    <w:p>
      <w:pPr>
        <w:pStyle w:val="ListBullet"/>
      </w:pPr>
      <w:r>
        <w:t>Business Reconciliation Grain: (bid_notice_no, bid_notice_round, bidder_supplier_id, opening_rank, disqualification_reason_ko, bid_amount_krw, bid_submission_time) — 7-column lossless key used to collapse post-opening snapshot updates in raw API responses (0 duplicates, 100% lossless proven).</w:t>
      </w:r>
    </w:p>
    <w:p>
      <w:pPr>
        <w:pStyle w:val="ListBullet"/>
      </w:pPr>
      <w:r>
        <w:t>Temporal Foreign Key:</w:t>
      </w:r>
    </w:p>
    <w:p>
      <w:pPr>
        <w:pStyle w:val="ListBullet"/>
      </w:pPr>
      <w:r>
        <w:t>tender_in_scope: bool — Flag indicating whether the bid maps to a tender published within the scope window (1,569,500 in-scope / 74.46%; 538,448 prior-notice / 25.54%).</w:t>
      </w:r>
    </w:p>
    <w:p>
      <w:pPr>
        <w:pStyle w:val="ListBullet"/>
      </w:pPr>
      <w:r>
        <w:t>Foreign Keys:</w:t>
      </w:r>
    </w:p>
    <w:p>
      <w:pPr>
        <w:pStyle w:val="ListBullet"/>
      </w:pPr>
      <w:r>
        <w:t>(bid_notice_no, bid_notice_round) → tenders (Temporal FK, Nullable: False)</w:t>
      </w:r>
    </w:p>
    <w:p>
      <w:pPr>
        <w:pStyle w:val="ListBullet"/>
      </w:pPr>
      <w:r>
        <w:t>bidder_supplier_id → suppliers.supplier_id (Nullable: False)</w:t>
      </w:r>
    </w:p>
    <w:p>
      <w:pPr>
        <w:pStyle w:val="ListBullet"/>
      </w:pPr>
      <w:r>
        <w:t>Cardinality: tenders (1) : bidder_submissions (N) (Range: 1 to 9,675 bids per tender, mean: 84.4).</w:t>
      </w:r>
    </w:p>
    <w:p>
      <w:pPr>
        <w:pStyle w:val="ListBullet"/>
      </w:pPr>
      <w:r>
        <w:t>Verification: LIVE VERIFIED (2,107,948 normalized rows in August 2026; lossless grain verified).</w:t>
      </w:r>
    </w:p>
    <w:p>
      <w:pPr>
        <w:pStyle w:val="ListBullet"/>
      </w:pPr>
      <w:r>
        <w:t>Source Feed: awards (getDataSetOpnStdScsbidInfo).</w:t>
      </w:r>
    </w:p>
    <w:p>
      <w:pPr>
        <w:pStyle w:val="Heading2"/>
      </w:pPr>
      <w:r>
        <w:t>3.3 award_outcomes (Final Opening &amp; Award Decisions)</w:t>
      </w:r>
    </w:p>
    <w:p>
      <w:pPr>
        <w:pStyle w:val="ListBullet"/>
      </w:pPr>
      <w:r>
        <w:t>Concept: The final adjudicated outcome indicating winning suppliers, prices, and rates.</w:t>
      </w:r>
    </w:p>
    <w:p>
      <w:pPr>
        <w:pStyle w:val="ListBullet"/>
      </w:pPr>
      <w:r>
        <w:t>Physical Primary Key (Surrogate PK): award_outcome_id (AWD_&lt;32 hex&gt;) — Deterministic SHA-256 surrogate key computed from award event canonical string (17,315 rows, 100% unique, 0 nulls).</w:t>
      </w:r>
    </w:p>
    <w:p>
      <w:pPr>
        <w:pStyle w:val="ListBullet"/>
      </w:pPr>
      <w:r>
        <w:t>Business Reconciliation Grain: (bid_notice_no, bid_notice_round, winner_supplier_id, award_amount_krw, bid_submission_time) (17,315 rows match 100%).</w:t>
      </w:r>
    </w:p>
    <w:p>
      <w:pPr>
        <w:pStyle w:val="ListBullet"/>
      </w:pPr>
      <w:r>
        <w:t>Award Amount Null Forensics (24 Cases) &amp; Policy:</w:t>
      </w:r>
    </w:p>
    <w:p>
      <w:pPr>
        <w:pStyle w:val="ListBullet"/>
      </w:pPr>
      <w:r>
        <w:t>Exactly 24 rows out of 17,315 winners (0.14%) have NULL award_amount_krw.</w:t>
      </w:r>
    </w:p>
    <w:p>
      <w:pPr>
        <w:pStyle w:val="ListBullet"/>
      </w:pPr>
      <w:r>
        <w:t>Cause: In opening snapshots of qualification reviews (qualification_review, 21 rows), lowest price (1 row), and small-sum private contracts (1 row), post-opening scoring was in progress, leaving the final contract award amount unfinalized in this feed.</w:t>
      </w:r>
    </w:p>
    <w:p>
      <w:pPr>
        <w:pStyle w:val="ListBullet"/>
      </w:pPr>
      <w:r>
        <w:t>Imputation Policy: DO NOT IMPUTE — These values are strictly preserved as NULL without synthetic imputation. The surrogate key award_outcome_id guarantees complete uniqueness across all rows regardless of amount nullability.</w:t>
      </w:r>
    </w:p>
    <w:p>
      <w:pPr>
        <w:pStyle w:val="ListBullet"/>
      </w:pPr>
      <w:r>
        <w:t>Temporal Foreign Key:</w:t>
      </w:r>
    </w:p>
    <w:p>
      <w:pPr>
        <w:pStyle w:val="ListBullet"/>
      </w:pPr>
      <w:r>
        <w:t>tender_in_scope: bool — 12,918 in-scope (74.61%), 4,397 prior-notice (25.39%).</w:t>
      </w:r>
    </w:p>
    <w:p>
      <w:pPr>
        <w:pStyle w:val="ListBullet"/>
      </w:pPr>
      <w:r>
        <w:t>Foreign Keys:</w:t>
      </w:r>
    </w:p>
    <w:p>
      <w:pPr>
        <w:pStyle w:val="ListBullet"/>
      </w:pPr>
      <w:r>
        <w:t>(bid_notice_no, bid_notice_round) → tenders</w:t>
      </w:r>
    </w:p>
    <w:p>
      <w:pPr>
        <w:pStyle w:val="ListBullet"/>
      </w:pPr>
      <w:r>
        <w:t>winner_supplier_id → suppliers.supplier_id</w:t>
      </w:r>
    </w:p>
    <w:p>
      <w:pPr>
        <w:pStyle w:val="ListBullet"/>
      </w:pPr>
      <w:r>
        <w:t>Cardinality: tenders (1) : award_outcomes (0..N)</w:t>
      </w:r>
    </w:p>
    <w:p>
      <w:pPr>
        <w:pStyle w:val="ListBullet"/>
      </w:pPr>
      <w:r>
        <w:t>0 Winners: 8,197 tenders (32.82% - failed bids or pending review)</w:t>
      </w:r>
    </w:p>
    <w:p>
      <w:pPr>
        <w:pStyle w:val="ListBullet"/>
      </w:pPr>
      <w:r>
        <w:t>1 Winner: 16,741 tenders (67.02% - standard single-winner award)</w:t>
      </w:r>
    </w:p>
    <w:p>
      <w:pPr>
        <w:pStyle w:val="ListBullet"/>
      </w:pPr>
      <w:r>
        <w:t>2+ Winners: 40 tenders (0.16% - multi-item/lot allocations or joint awards)</w:t>
      </w:r>
    </w:p>
    <w:p>
      <w:pPr>
        <w:pStyle w:val="ListBullet"/>
      </w:pPr>
      <w:r>
        <w:t>Source Feed: awards rows with is_selected_winner == True.</w:t>
      </w:r>
    </w:p>
    <w:p>
      <w:pPr>
        <w:pStyle w:val="Heading2"/>
      </w:pPr>
      <w:r>
        <w:t>3.4 contracts (Executed Public Contracts)</w:t>
      </w:r>
    </w:p>
    <w:p>
      <w:pPr>
        <w:pStyle w:val="ListBullet"/>
      </w:pPr>
      <w:r>
        <w:t>Concept: Legally executed contracts between public agencies and suppliers.</w:t>
      </w:r>
    </w:p>
    <w:p>
      <w:pPr>
        <w:pStyle w:val="ListBullet"/>
      </w:pPr>
      <w:r>
        <w:t>Intended Grain: One national unified contract.</w:t>
      </w:r>
    </w:p>
    <w:p>
      <w:pPr>
        <w:pStyle w:val="ListBullet"/>
      </w:pPr>
      <w:r>
        <w:t>Primary Key: unified_contract_no (untyCntrctNo)</w:t>
      </w:r>
    </w:p>
    <w:p>
      <w:pPr>
        <w:pStyle w:val="ListBullet"/>
      </w:pPr>
      <w:r>
        <w:t>Foreign Keys:</w:t>
      </w:r>
    </w:p>
    <w:p>
      <w:pPr>
        <w:pStyle w:val="ListBullet"/>
      </w:pPr>
      <w:r>
        <w:t>contract_agency_code → agencies.agency_code</w:t>
      </w:r>
    </w:p>
    <w:p>
      <w:pPr>
        <w:pStyle w:val="ListBullet"/>
      </w:pPr>
      <w:r>
        <w:t>demand_agency_code → agencies.agency_code</w:t>
      </w:r>
    </w:p>
    <w:p>
      <w:pPr>
        <w:pStyle w:val="ListBullet"/>
      </w:pPr>
      <w:r>
        <w:t>contractor_supplier_id → suppliers.supplier_id</w:t>
      </w:r>
    </w:p>
    <w:p>
      <w:pPr>
        <w:pStyle w:val="ListBullet"/>
      </w:pPr>
      <w:r>
        <w:t>Verification: LIVE VERIFIED (115,945 rows in August 2026; 0.0% null rate, 100.0% strictly unique).</w:t>
      </w:r>
    </w:p>
    <w:p>
      <w:pPr>
        <w:pStyle w:val="ListBullet"/>
      </w:pPr>
      <w:r>
        <w:t>Source Feed: contracts (getDataSetOpnStdCntrctInfo).</w:t>
      </w:r>
    </w:p>
    <w:p>
      <w:pPr>
        <w:pStyle w:val="Heading2"/>
      </w:pPr>
      <w:r>
        <w:t>3.5 tender_contract_bridge (Tender-Contract Relationship Bridge)</w:t>
      </w:r>
    </w:p>
    <w:p>
      <w:pPr>
        <w:pStyle w:val="ListBullet"/>
      </w:pPr>
      <w:r>
        <w:t>Concept: Resolves the relationship between tender announcements and executed contracts.</w:t>
      </w:r>
    </w:p>
    <w:p>
      <w:pPr>
        <w:pStyle w:val="ListBullet"/>
      </w:pPr>
      <w:r>
        <w:t>Intended Grain: One row per tender-linked contract (unlinked contracts are excluded from the bridge and preserved exclusively in contracts).</w:t>
      </w:r>
    </w:p>
    <w:p>
      <w:pPr>
        <w:pStyle w:val="ListBullet"/>
      </w:pPr>
      <w:r>
        <w:t>Primary Key: unified_contract_no (strictly unique, 40,677 rows).</w:t>
      </w:r>
    </w:p>
    <w:p>
      <w:pPr>
        <w:pStyle w:val="ListBullet"/>
      </w:pPr>
      <w:r>
        <w:t>Temporal Foreign Key:</w:t>
      </w:r>
    </w:p>
    <w:p>
      <w:pPr>
        <w:pStyle w:val="ListBullet"/>
      </w:pPr>
      <w:r>
        <w:t>tender_in_scope: bool — 9,138 in-scope (22.46%), 31,539 prior-notice (77.54%).</w:t>
      </w:r>
    </w:p>
    <w:p>
      <w:pPr>
        <w:pStyle w:val="ListBullet"/>
      </w:pPr>
      <w:r>
        <w:t>Foreign Keys:</w:t>
      </w:r>
    </w:p>
    <w:p>
      <w:pPr>
        <w:pStyle w:val="ListBullet"/>
      </w:pPr>
      <w:r>
        <w:t>unified_contract_no → contracts.unified_contract_no</w:t>
      </w:r>
    </w:p>
    <w:p>
      <w:pPr>
        <w:pStyle w:val="ListBullet"/>
      </w:pPr>
      <w:r>
        <w:t>(bid_notice_no, bid_notice_round) → tenders.(bid_notice_no, bid_notice_round) (Nullable: True)</w:t>
      </w:r>
    </w:p>
    <w:p>
      <w:pPr>
        <w:pStyle w:val="ListBullet"/>
      </w:pPr>
      <w:r>
        <w:t>Empirical Ratios (August 2026):</w:t>
      </w:r>
    </w:p>
    <w:p>
      <w:pPr>
        <w:pStyle w:val="ListBullet"/>
      </w:pPr>
      <w:r>
        <w:t>Contracts linked to tender notice: 35.08% (40,677 rows) → Recorded in bridge table.</w:t>
      </w:r>
    </w:p>
    <w:p>
      <w:pPr>
        <w:pStyle w:val="ListBullet"/>
      </w:pPr>
      <w:r>
        <w:t>Contracts without tender notice: 64.92% (75,268 rows) → Preserved in contracts only (private contracts 72,418, off-notice competitive 2,850).</w:t>
      </w:r>
    </w:p>
    <w:p>
      <w:pPr>
        <w:pStyle w:val="ListBullet"/>
      </w:pPr>
      <w:r>
        <w:t>Design Rationale: Prevents unintentional loss of non-tendered contracts during relational joins while cleanly supporting 1:N multi-contract allocations from a single tender (208 tenders).</w:t>
      </w:r>
    </w:p>
    <w:p>
      <w:pPr>
        <w:pStyle w:val="Heading2"/>
      </w:pPr>
      <w:r>
        <w:t>3.6 suppliers (Supplier Dimension Table)</w:t>
      </w:r>
    </w:p>
    <w:p>
      <w:pPr>
        <w:pStyle w:val="ListBullet"/>
      </w:pPr>
      <w:r>
        <w:t>Concept: Unified dimension of all enterprises and sole proprietors participating in procurement.</w:t>
      </w:r>
    </w:p>
    <w:p>
      <w:pPr>
        <w:pStyle w:val="ListBullet"/>
      </w:pPr>
      <w:r>
        <w:t>Primary Key: supplier_id (HMAC-SHA256 pseudonymized SUP_&lt;32 hex&gt; hash of normalized 10-digit registration number, 143,842 rows 100% unique).</w:t>
      </w:r>
    </w:p>
    <w:p>
      <w:pPr>
        <w:pStyle w:val="ListBullet"/>
      </w:pPr>
      <w:r>
        <w:t>Privacy Policy: Raw business registration numbers are never published; public releases include a stable HMAC pseudo-ID (supplier_id) and masked string (masked_biz_no: 123-45-*).</w:t>
      </w:r>
    </w:p>
    <w:p>
      <w:pPr>
        <w:pStyle w:val="ListBullet"/>
      </w:pPr>
      <w:r>
        <w:t>Secret Key Separation: The HMAC key is derived from a dedicated environment variable (KONEPS_SUPPLIER_HMAC_KEY), completely separated from the API key (DATA_GO_KR_SERVICE_KEY), and must remain stable across all dataset releases.</w:t>
      </w:r>
    </w:p>
    <w:p>
      <w:pPr>
        <w:pStyle w:val="ListBullet"/>
      </w:pPr>
      <w:r>
        <w:t>Empirical Volume (August 2026):</w:t>
      </w:r>
    </w:p>
    <w:p>
      <w:pPr>
        <w:pStyle w:val="ListBullet"/>
      </w:pPr>
      <w:r>
        <w:t>Distinct Bidders: 123,777</w:t>
      </w:r>
    </w:p>
    <w:p>
      <w:pPr>
        <w:pStyle w:val="ListBullet"/>
      </w:pPr>
      <w:r>
        <w:t>Distinct Winners: 13,374</w:t>
      </w:r>
    </w:p>
    <w:p>
      <w:pPr>
        <w:pStyle w:val="ListBullet"/>
      </w:pPr>
      <w:r>
        <w:t>Distinct Contractors: 59,233</w:t>
      </w:r>
    </w:p>
    <w:p>
      <w:pPr>
        <w:pStyle w:val="ListBullet"/>
      </w:pPr>
      <w:r>
        <w:t>Total Unique Suppliers: 143,842</w:t>
      </w:r>
    </w:p>
    <w:p>
      <w:pPr>
        <w:pStyle w:val="Heading2"/>
      </w:pPr>
      <w:r>
        <w:t>3.7 agencies (Procuring &amp; Demanding Agency Dimension)</w:t>
      </w:r>
    </w:p>
    <w:p>
      <w:pPr>
        <w:pStyle w:val="ListBullet"/>
      </w:pPr>
      <w:r>
        <w:t>Concept: Public sector bodies (national ministries, municipal authorities, state-owned corporations).</w:t>
      </w:r>
    </w:p>
    <w:p>
      <w:pPr>
        <w:pStyle w:val="ListBullet"/>
      </w:pPr>
      <w:r>
        <w:t>Primary Key: agency_code (7-digit official administrative code, 14,091 rows 100% unique).</w:t>
      </w:r>
    </w:p>
    <w:p>
      <w:pPr>
        <w:pStyle w:val="ListBullet"/>
      </w:pPr>
      <w:r>
        <w:t>Empirical Volume (August 2026): Notice agencies: 5,690, demand agencies: 14,079, contract agencies: 12,347 → Total 14,091 unique public agencies identified.</w:t>
      </w:r>
    </w:p>
    <w:p>
      <w:pPr>
        <w:pStyle w:val="Heading2"/>
      </w:pPr>
      <w:r>
        <w:t>3.8 Physical Curated Tables Summary (CURATED_SCHEMA_VERSION = "1.0.0")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#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Table File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Row Count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Primary Key (PK)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Compressed Size (MiB)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01_tenders.parquet</w:t>
            </w:r>
          </w:p>
        </w:tc>
        <w:tc>
          <w:tcPr>
            <w:tcW w:type="dxa" w:w="1560"/>
          </w:tcPr>
          <w:p>
            <w:r>
              <w:t>32,895</w:t>
            </w:r>
          </w:p>
        </w:tc>
        <w:tc>
          <w:tcPr>
            <w:tcW w:type="dxa" w:w="1560"/>
          </w:tcPr>
          <w:p>
            <w:r>
              <w:t>(bid_notice_no, bid_notice_round)</w:t>
            </w:r>
          </w:p>
        </w:tc>
        <w:tc>
          <w:tcPr>
            <w:tcW w:type="dxa" w:w="1560"/>
          </w:tcPr>
          <w:p>
            <w:r>
              <w:t>1.99</w:t>
            </w:r>
          </w:p>
        </w:tc>
        <w:tc>
          <w:tcPr>
            <w:tcW w:type="dxa" w:w="1560"/>
          </w:tcPr>
          <w:p>
            <w:r>
              <w:t>VERIFIED (0 dup / 0 null)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02_bidder_submissions.parquet</w:t>
            </w:r>
          </w:p>
        </w:tc>
        <w:tc>
          <w:tcPr>
            <w:tcW w:type="dxa" w:w="1560"/>
          </w:tcPr>
          <w:p>
            <w:r>
              <w:t>2,107,948</w:t>
            </w:r>
          </w:p>
        </w:tc>
        <w:tc>
          <w:tcPr>
            <w:tcW w:type="dxa" w:w="1560"/>
          </w:tcPr>
          <w:p>
            <w:r>
              <w:t>bid_submission_id</w:t>
            </w:r>
          </w:p>
        </w:tc>
        <w:tc>
          <w:tcPr>
            <w:tcW w:type="dxa" w:w="1560"/>
          </w:tcPr>
          <w:p>
            <w:r>
              <w:t>96.19</w:t>
            </w:r>
          </w:p>
        </w:tc>
        <w:tc>
          <w:tcPr>
            <w:tcW w:type="dxa" w:w="1560"/>
          </w:tcPr>
          <w:p>
            <w:r>
              <w:t>VERIFIED (0 dup / 0 null)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03_award_outcomes.parquet</w:t>
            </w:r>
          </w:p>
        </w:tc>
        <w:tc>
          <w:tcPr>
            <w:tcW w:type="dxa" w:w="1560"/>
          </w:tcPr>
          <w:p>
            <w:r>
              <w:t>17,315</w:t>
            </w:r>
          </w:p>
        </w:tc>
        <w:tc>
          <w:tcPr>
            <w:tcW w:type="dxa" w:w="1560"/>
          </w:tcPr>
          <w:p>
            <w:r>
              <w:t>award_outcome_id</w:t>
            </w:r>
          </w:p>
        </w:tc>
        <w:tc>
          <w:tcPr>
            <w:tcW w:type="dxa" w:w="1560"/>
          </w:tcPr>
          <w:p>
            <w:r>
              <w:t>2.01</w:t>
            </w:r>
          </w:p>
        </w:tc>
        <w:tc>
          <w:tcPr>
            <w:tcW w:type="dxa" w:w="1560"/>
          </w:tcPr>
          <w:p>
            <w:r>
              <w:t>VERIFIED (0 dup / 0 null)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04_contracts.parquet</w:t>
            </w:r>
          </w:p>
        </w:tc>
        <w:tc>
          <w:tcPr>
            <w:tcW w:type="dxa" w:w="1560"/>
          </w:tcPr>
          <w:p>
            <w:r>
              <w:t>115,945</w:t>
            </w:r>
          </w:p>
        </w:tc>
        <w:tc>
          <w:tcPr>
            <w:tcW w:type="dxa" w:w="1560"/>
          </w:tcPr>
          <w:p>
            <w:r>
              <w:t>unified_contract_no</w:t>
            </w:r>
          </w:p>
        </w:tc>
        <w:tc>
          <w:tcPr>
            <w:tcW w:type="dxa" w:w="1560"/>
          </w:tcPr>
          <w:p>
            <w:r>
              <w:t>10.21</w:t>
            </w:r>
          </w:p>
        </w:tc>
        <w:tc>
          <w:tcPr>
            <w:tcW w:type="dxa" w:w="1560"/>
          </w:tcPr>
          <w:p>
            <w:r>
              <w:t>VERIFIED (0 dup / 0 null)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05_suppliers.parquet</w:t>
            </w:r>
          </w:p>
        </w:tc>
        <w:tc>
          <w:tcPr>
            <w:tcW w:type="dxa" w:w="1560"/>
          </w:tcPr>
          <w:p>
            <w:r>
              <w:t>143,842</w:t>
            </w:r>
          </w:p>
        </w:tc>
        <w:tc>
          <w:tcPr>
            <w:tcW w:type="dxa" w:w="1560"/>
          </w:tcPr>
          <w:p>
            <w:r>
              <w:t>supplier_id</w:t>
            </w:r>
          </w:p>
        </w:tc>
        <w:tc>
          <w:tcPr>
            <w:tcW w:type="dxa" w:w="1560"/>
          </w:tcPr>
          <w:p>
            <w:r>
              <w:t>4.36</w:t>
            </w:r>
          </w:p>
        </w:tc>
        <w:tc>
          <w:tcPr>
            <w:tcW w:type="dxa" w:w="1560"/>
          </w:tcPr>
          <w:p>
            <w:r>
              <w:t>VERIFIED (0 dup / 0 null)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06_agencies.parquet</w:t>
            </w:r>
          </w:p>
        </w:tc>
        <w:tc>
          <w:tcPr>
            <w:tcW w:type="dxa" w:w="1560"/>
          </w:tcPr>
          <w:p>
            <w:r>
              <w:t>14,091</w:t>
            </w:r>
          </w:p>
        </w:tc>
        <w:tc>
          <w:tcPr>
            <w:tcW w:type="dxa" w:w="1560"/>
          </w:tcPr>
          <w:p>
            <w:r>
              <w:t>agency_code</w:t>
            </w:r>
          </w:p>
        </w:tc>
        <w:tc>
          <w:tcPr>
            <w:tcW w:type="dxa" w:w="1560"/>
          </w:tcPr>
          <w:p>
            <w:r>
              <w:t>0.21</w:t>
            </w:r>
          </w:p>
        </w:tc>
        <w:tc>
          <w:tcPr>
            <w:tcW w:type="dxa" w:w="1560"/>
          </w:tcPr>
          <w:p>
            <w:r>
              <w:t>VERIFIED (0 dup / 0 null)</w:t>
            </w:r>
          </w:p>
        </w:tc>
      </w:tr>
      <w:tr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07_tender_contract_bridge.parquet</w:t>
            </w:r>
          </w:p>
        </w:tc>
        <w:tc>
          <w:tcPr>
            <w:tcW w:type="dxa" w:w="1560"/>
          </w:tcPr>
          <w:p>
            <w:r>
              <w:t>40,677</w:t>
            </w:r>
          </w:p>
        </w:tc>
        <w:tc>
          <w:tcPr>
            <w:tcW w:type="dxa" w:w="1560"/>
          </w:tcPr>
          <w:p>
            <w:r>
              <w:t>unified_contract_no</w:t>
            </w:r>
          </w:p>
        </w:tc>
        <w:tc>
          <w:tcPr>
            <w:tcW w:type="dxa" w:w="1560"/>
          </w:tcPr>
          <w:p>
            <w:r>
              <w:t>0.71</w:t>
            </w:r>
          </w:p>
        </w:tc>
        <w:tc>
          <w:tcPr>
            <w:tcW w:type="dxa" w:w="1560"/>
          </w:tcPr>
          <w:p>
            <w:r>
              <w:t>VERIFIED (0 dup / 0 null)</w:t>
            </w:r>
          </w:p>
        </w:tc>
      </w:tr>
    </w:tbl>
    <w:p/>
    <w:p>
      <w:pPr>
        <w:pStyle w:val="Heading1"/>
      </w:pPr>
      <w:r>
        <w:t>4. Reassessment of the Bidder Report Export Role</w:t>
      </w:r>
    </w:p>
    <w:p>
      <w:r>
        <w:t>Because the live OpenAPI feed getDataSetOpnStdScsbidInfo already provides full-fidelity bidder submissions (business registration numbers, bid amounts, bid rates, timestamps, ranks, and disqualification reasons), the role of the portal bidder report export (bidder_outcomes CSV/XLS/XLSX) has been adjusted:</w:t>
      </w:r>
    </w:p>
    <w:p>
      <w:pPr>
        <w:pStyle w:val="ListBullet"/>
      </w:pPr>
      <w:r>
        <w:t>Previous Role: Mandatory core source</w:t>
      </w:r>
    </w:p>
    <w:p>
      <w:pPr>
        <w:pStyle w:val="ListBullet"/>
      </w:pPr>
      <w:r>
        <w:t>New Role: Optional Enrichment &amp; Cross-Validation</w:t>
      </w:r>
    </w:p>
    <w:p>
      <w:pPr>
        <w:pStyle w:val="ListBullet"/>
      </w:pPr>
      <w:r>
        <w:t>Report-Exclusive Fields:</w:t>
      </w:r>
    </w:p>
    <w:p>
      <w:pPr>
        <w:pStyle w:val="ListBullet"/>
      </w:pPr>
      <w:r>
        <w:t>Detailed supplier municipal district (bidder_sigungu_ko)</w:t>
      </w:r>
    </w:p>
    <w:p>
      <w:pPr>
        <w:pStyle w:val="ListBullet"/>
      </w:pPr>
      <w:r>
        <w:t>Corporate scale classification at contract time (SME, micro-enterprise)</w:t>
      </w:r>
    </w:p>
    <w:p>
      <w:pPr>
        <w:pStyle w:val="ListBullet"/>
      </w:pPr>
      <w:r>
        <w:t>Extended multi-year contract subdivision tags</w:t>
      </w:r>
    </w:p>
    <w:p>
      <w:pPr>
        <w:pStyle w:val="ListBullet"/>
      </w:pPr>
      <w:r>
        <w:t>Strategy: Decouples historical bulk crawling from manual portal exports while preserving ingestion compatibility for focused localized analyses.</w:t>
      </w:r>
    </w:p>
    <w:p>
      <w:pPr>
        <w:pStyle w:val="Heading1"/>
      </w:pPr>
      <w:r>
        <w:t>5. Dataset Publication &amp; Format Policy</w:t>
      </w:r>
    </w:p>
    <w:p>
      <w:pPr>
        <w:pStyle w:val="ListNumber"/>
      </w:pPr>
      <w:r>
        <w:t>Canonical Analytical Format:</w:t>
      </w:r>
    </w:p>
    <w:p>
      <w:pPr>
        <w:pStyle w:val="ListBullet"/>
      </w:pPr>
      <w:r>
        <w:t>Partitioned Apache Parquet (Zstandard compression)</w:t>
      </w:r>
    </w:p>
    <w:p>
      <w:pPr>
        <w:pStyle w:val="ListBullet"/>
      </w:pPr>
      <w:r>
        <w:t>Date partitioning: year=YYYY/month=MM/</w:t>
      </w:r>
    </w:p>
    <w:p>
      <w:pPr>
        <w:pStyle w:val="ListBullet"/>
      </w:pPr>
      <w:r>
        <w:t>Strict typing: nullable boolean (boolean dtype), nanosecond timestamps (datetime64[ns]), int64, and float64.</w:t>
      </w:r>
    </w:p>
    <w:p>
      <w:pPr>
        <w:pStyle w:val="ListNumber"/>
      </w:pPr>
      <w:r>
        <w:t>Raw Archival Storage:</w:t>
      </w:r>
    </w:p>
    <w:p>
      <w:pPr>
        <w:pStyle w:val="ListBullet"/>
      </w:pPr>
      <w:r>
        <w:t>Immutable .jsonl.gz with atomic writes and SHA-256 manifests.</w:t>
      </w:r>
    </w:p>
    <w:p>
      <w:pPr>
        <w:pStyle w:val="ListNumber"/>
      </w:pPr>
      <w:r>
        <w:t>Auxiliary Export Formats:</w:t>
      </w:r>
    </w:p>
    <w:p>
      <w:pPr>
        <w:pStyle w:val="ListBullet"/>
      </w:pPr>
      <w:r>
        <w:t>CSV: Summary dimension tables and data dictionaries.</w:t>
      </w:r>
    </w:p>
    <w:p>
      <w:pPr>
        <w:pStyle w:val="ListBullet"/>
      </w:pPr>
      <w:r>
        <w:t>XLSX: Human-readable reports under 100,000 rows.</w:t>
      </w:r>
    </w:p>
    <w:p>
      <w:pPr>
        <w:pStyle w:val="ListBullet"/>
      </w:pPr>
      <w:r>
        <w:t>Constraint: Multi-million-row submission tables are never exported to Excel formats.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