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Data Sources &amp; Licensing Guide</w:t>
      </w:r>
    </w:p>
    <w:p>
      <w:r>
        <w:t>한국어 | English</w:t>
      </w:r>
    </w:p>
    <w:p>
      <w:r>
        <w:t>This document describes the primary data sources, service endpoints, operational constraints, and licensing considerations for the KONEPS Procurement Intelligence pipeline.</w:t>
      </w:r>
    </w:p>
    <w:p>
      <w:pPr>
        <w:pStyle w:val="Heading1"/>
      </w:pPr>
      <w:r>
        <w:t>1. Korean Public Data Portal (data.go.kr) APIs</w:t>
      </w:r>
    </w:p>
    <w:p>
      <w:r>
        <w:t>The primary automated ingestion stream relies on official Open Data Standard APIs provided by South Korea's Public Procurement Service (조달청 나라장터 / KONEPS) via the Public Data Portal (data.go.kr).</w:t>
      </w:r>
    </w:p>
    <w:p>
      <w:pPr>
        <w:pStyle w:val="ListBullet"/>
      </w:pPr>
      <w:r>
        <w:t>Service Name: 조달청_나라장터 공공데이터개방표준서비스 (KONEPS Public Data Open Standard Service)</w:t>
      </w:r>
    </w:p>
    <w:p>
      <w:pPr>
        <w:pStyle w:val="ListBullet"/>
      </w:pPr>
      <w:r>
        <w:t>Base Endpoint: https://apis.data.go.kr/1230000/ao/PubDataOpnStdService</w:t>
      </w:r>
    </w:p>
    <w:p>
      <w:pPr>
        <w:pStyle w:val="ListBullet"/>
      </w:pPr>
      <w:r>
        <w:t>Protocol: HTTPS GET (JSON and XML response payloads)</w:t>
      </w:r>
    </w:p>
    <w:p>
      <w:pPr>
        <w:pStyle w:val="ListBullet"/>
      </w:pPr>
      <w:r>
        <w:t>Authentication: ServiceKey (Standard decoding key issued per account)</w:t>
      </w:r>
    </w:p>
    <w:p>
      <w:pPr>
        <w:pStyle w:val="ListBullet"/>
      </w:pPr>
      <w:r>
        <w:t>Observed Limits:</w:t>
      </w:r>
    </w:p>
    <w:p>
      <w:pPr>
        <w:pStyle w:val="ListBullet"/>
      </w:pPr>
      <w:r>
        <w:t>Configured key successfully performed 2,365 API calls without a quota error during the August 2026 pilot.</w:t>
      </w:r>
    </w:p>
    <w:p>
      <w:pPr>
        <w:pStyle w:val="Heading2"/>
      </w:pPr>
      <w:r>
        <w:t>Supported Endpoints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Operation Name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Temporal Parameter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Date Format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Pacing / Window Strategy</w:t>
            </w:r>
          </w:p>
        </w:tc>
      </w:tr>
      <w:tr>
        <w:tc>
          <w:tcPr>
            <w:tcW w:type="dxa" w:w="1872"/>
          </w:tcPr>
          <w:p>
            <w:r>
              <w:t>Tender Notices (bids)</w:t>
            </w:r>
          </w:p>
        </w:tc>
        <w:tc>
          <w:tcPr>
            <w:tcW w:type="dxa" w:w="1872"/>
          </w:tcPr>
          <w:p>
            <w:r>
              <w:t>getDataSetOpnStdBidPblancInfo</w:t>
            </w:r>
          </w:p>
        </w:tc>
        <w:tc>
          <w:tcPr>
            <w:tcW w:type="dxa" w:w="1872"/>
          </w:tcPr>
          <w:p>
            <w:r>
              <w:t>bidNtceBgnDt ~ bidNtceEndDt</w:t>
            </w:r>
          </w:p>
        </w:tc>
        <w:tc>
          <w:tcPr>
            <w:tcW w:type="dxa" w:w="1872"/>
          </w:tcPr>
          <w:p>
            <w:r>
              <w:t>YYYYMMDDHHMM</w:t>
            </w:r>
          </w:p>
        </w:tc>
        <w:tc>
          <w:tcPr>
            <w:tcW w:type="dxa" w:w="1872"/>
          </w:tcPr>
          <w:p>
            <w:r>
              <w:t>Monthly calendar slices (month_windows)</w:t>
            </w:r>
          </w:p>
        </w:tc>
      </w:tr>
      <w:tr>
        <w:tc>
          <w:tcPr>
            <w:tcW w:type="dxa" w:w="1872"/>
          </w:tcPr>
          <w:p>
            <w:r>
              <w:t>Successful Bids (awards)</w:t>
            </w:r>
          </w:p>
        </w:tc>
        <w:tc>
          <w:tcPr>
            <w:tcW w:type="dxa" w:w="1872"/>
          </w:tcPr>
          <w:p>
            <w:r>
              <w:t>getDataSetOpnStdScsbidInfo</w:t>
            </w:r>
          </w:p>
        </w:tc>
        <w:tc>
          <w:tcPr>
            <w:tcW w:type="dxa" w:w="1872"/>
          </w:tcPr>
          <w:p>
            <w:r>
              <w:t>opengBgnDt ~ opengEndDt</w:t>
            </w:r>
          </w:p>
        </w:tc>
        <w:tc>
          <w:tcPr>
            <w:tcW w:type="dxa" w:w="1872"/>
          </w:tcPr>
          <w:p>
            <w:r>
              <w:t>YYYYMMDDHHMM</w:t>
            </w:r>
          </w:p>
        </w:tc>
        <w:tc>
          <w:tcPr>
            <w:tcW w:type="dxa" w:w="1872"/>
          </w:tcPr>
          <w:p>
            <w:r>
              <w:t>1-day windows (API v1.2 required), partitioned by business division (bsnsDivCd 1, 2, 3, 5)</w:t>
            </w:r>
          </w:p>
        </w:tc>
      </w:tr>
      <w:tr>
        <w:tc>
          <w:tcPr>
            <w:tcW w:type="dxa" w:w="1872"/>
          </w:tcPr>
          <w:p>
            <w:r>
              <w:t>Contracts (contracts)</w:t>
            </w:r>
          </w:p>
        </w:tc>
        <w:tc>
          <w:tcPr>
            <w:tcW w:type="dxa" w:w="1872"/>
          </w:tcPr>
          <w:p>
            <w:r>
              <w:t>getDataSetOpnStdCntrctInfo</w:t>
            </w:r>
          </w:p>
        </w:tc>
        <w:tc>
          <w:tcPr>
            <w:tcW w:type="dxa" w:w="1872"/>
          </w:tcPr>
          <w:p>
            <w:r>
              <w:t>cntrctCnclsBgnDate ~ cntrctCnclsEndDate</w:t>
            </w:r>
          </w:p>
        </w:tc>
        <w:tc>
          <w:tcPr>
            <w:tcW w:type="dxa" w:w="1872"/>
          </w:tcPr>
          <w:p>
            <w:r>
              <w:t>YYYYMMDD</w:t>
            </w:r>
          </w:p>
        </w:tc>
        <w:tc>
          <w:tcPr>
            <w:tcW w:type="dxa" w:w="1872"/>
          </w:tcPr>
          <w:p>
            <w:r>
              <w:t>7-day weekly slices (week_windows)</w:t>
            </w:r>
          </w:p>
        </w:tc>
      </w:tr>
    </w:tbl>
    <w:p/>
    <w:p>
      <w:pPr>
        <w:pStyle w:val="Heading2"/>
      </w:pPr>
      <w:r>
        <w:t>Business Divisions (bsnsDivCd)</w:t>
      </w:r>
    </w:p>
    <w:p>
      <w:r>
        <w:t>For endpoints requiring business division segmentation (awards):</w:t>
      </w:r>
    </w:p>
    <w:p>
      <w:pPr>
        <w:pStyle w:val="ListBullet"/>
      </w:pPr>
      <w:r>
        <w:t>1: Goods (물품)</w:t>
      </w:r>
    </w:p>
    <w:p>
      <w:pPr>
        <w:pStyle w:val="ListBullet"/>
      </w:pPr>
      <w:r>
        <w:t>2: Foreign Supplies (외자)</w:t>
      </w:r>
    </w:p>
    <w:p>
      <w:pPr>
        <w:pStyle w:val="ListBullet"/>
      </w:pPr>
      <w:r>
        <w:t>3: Construction / Civil Works (공사) — accounts for ~77.6% of all awards records</w:t>
      </w:r>
    </w:p>
    <w:p>
      <w:pPr>
        <w:pStyle w:val="ListBullet"/>
      </w:pPr>
      <w:r>
        <w:t>5: Services / Consulting (용역)</w:t>
      </w:r>
    </w:p>
    <w:p>
      <w:pPr>
        <w:pStyle w:val="Heading1"/>
      </w:pPr>
      <w:r>
        <w:t>2. Official KONEPS Bidder Outcome Report Export</w:t>
      </w:r>
    </w:p>
    <w:p>
      <w:r>
        <w:t>In addition to standard API feeds, detailed bidder-level competition records can be ingested from official KONEPS exports:</w:t>
      </w:r>
    </w:p>
    <w:p>
      <w:pPr>
        <w:pStyle w:val="ListBullet"/>
      </w:pPr>
      <w:r>
        <w:t>Source Portal: KONEPS Open Procurement Data Portal (조달청 나라장터)</w:t>
      </w:r>
    </w:p>
    <w:p>
      <w:pPr>
        <w:pStyle w:val="ListBullet"/>
      </w:pPr>
      <w:r>
        <w:t>Report Name: 입찰공고 기업별 투찰 및 계약내역 (Tender Notice Bidder-Level Bidding &amp; Contract History)</w:t>
      </w:r>
    </w:p>
    <w:p>
      <w:pPr>
        <w:pStyle w:val="ListBullet"/>
      </w:pPr>
      <w:r>
        <w:t>Ingestion Script: scripts/ingest_bidder_report.py</w:t>
      </w:r>
    </w:p>
    <w:p>
      <w:pPr>
        <w:pStyle w:val="ListBullet"/>
      </w:pPr>
      <w:r>
        <w:t>Supported Formats: CSV (.csv), Excel (.xlsx, .xls)</w:t>
      </w:r>
    </w:p>
    <w:p>
      <w:pPr>
        <w:pStyle w:val="ListBullet"/>
      </w:pPr>
      <w:r>
        <w:t>Role: Because the live awards API already provides full bidder submissions, portal exports serve as Optional Enrichment &amp; Cross-Validation.</w:t>
      </w:r>
    </w:p>
    <w:p>
      <w:pPr>
        <w:pStyle w:val="Heading1"/>
      </w:pPr>
      <w:r>
        <w:t>3. Data Governance &amp; Licensing</w:t>
      </w:r>
    </w:p>
    <w:p>
      <w:pPr>
        <w:pStyle w:val="Heading2"/>
      </w:pPr>
      <w:r>
        <w:t>Source Data Licensing</w:t>
      </w:r>
    </w:p>
    <w:p>
      <w:pPr>
        <w:pStyle w:val="ListBullet"/>
      </w:pPr>
      <w:r>
        <w:t>Public data distributed through data.go.kr and KONEPS is governed by South Korea's Act on Promotion of the Provision and Use of Public Data (공공데이터의 제공 및 이용 활성화에 관한 법률) and the individual permission terms displayed on each service page. The project does not invent a Creative Commons or KOGL subtype when the source page does not state one.</w:t>
      </w:r>
    </w:p>
    <w:p>
      <w:pPr>
        <w:pStyle w:val="ListBullet"/>
      </w:pPr>
      <w:r>
        <w:t>Re-verified 2026-09-11: the KONEPS Public Data Open Standard Service page (last edited 2026-06-29) lists the service as free and its scope of license as unrestricted. Source: https://www.data.go.kr/en/data/15023678/standard.do</w:t>
      </w:r>
    </w:p>
    <w:p>
      <w:pPr>
        <w:pStyle w:val="ListBullet"/>
      </w:pPr>
      <w:r>
        <w:t>Code vs. Data Separation: Source code is versioned in GitHub; collected procurement datasets are excluded (.gitignore) and distributed independently via Kaggle Datasets.</w:t>
      </w:r>
    </w:p>
    <w:p>
      <w:pPr>
        <w:pStyle w:val="Heading2"/>
      </w:pPr>
      <w:r>
        <w:t>Responsible Publication Checkpoints</w:t>
      </w:r>
    </w:p>
    <w:p>
      <w:pPr>
        <w:pStyle w:val="ListNumber"/>
      </w:pPr>
      <w:r>
        <w:t>Source-by-Source License Re-Verification: The standard API service was re-verified on 2026-09-11. If a separate KONEPS portal export is ever included in the public payload, its terms will be verified independently before publication.</w:t>
      </w:r>
    </w:p>
    <w:p>
      <w:pPr>
        <w:pStyle w:val="ListNumber"/>
      </w:pPr>
      <w:r>
        <w:t>Business Registration Number Pseudonymization and Minimization: The public release uses only a dedicated-secret HMAC-SHA256 supplier_id. Raw and masked business registration numbers are both excluded.</w:t>
      </w:r>
    </w:p>
    <w:p>
      <w:pPr>
        <w:pStyle w:val="ListNumber"/>
      </w:pPr>
      <w:r>
        <w:t>Supplier Name Minimization: The v1 Kaggle payload also excludes bidder, winner, contractor, and supplier-dimension company names. Public agency names remain for institutional analysis and joins.</w:t>
      </w:r>
    </w:p>
    <w:p>
      <w:pPr>
        <w:pStyle w:val="ListNumber"/>
      </w:pPr>
      <w:r>
        <w:t>Personal Data Protection: Personal identification information is not included in the public release.</w:t>
      </w:r>
    </w:p>
    <w:p>
      <w:pPr>
        <w:pStyle w:val="ListNumber"/>
      </w:pPr>
      <w:r>
        <w:t>No Credential Exposure: API keys, HMAC secrets, service tokens, and .env files are strictly excluded from source control.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