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KONEPS 공공데이터포털 실시간 API 검증 보고서</w:t>
      </w:r>
    </w:p>
    <w:p>
      <w:r>
        <w:t>한국어 | English</w:t>
      </w:r>
    </w:p>
    <w:p>
      <w:r>
        <w:t>본 문서는 조달청 나라장터 표준 공공데이터 API(PubDataOpnStdService v1.2)에 대한 실시간 연동 검증 및 1일치(2026-09-01) 스모크 테스트 수집·정제·품질 검증 결과를 기록한 공식 기술 보고서입니다.</w:t>
      </w:r>
    </w:p>
    <w:p>
      <w:pPr>
        <w:pStyle w:val="Heading1"/>
      </w:pPr>
      <w:r>
        <w:t>1. 검증 개요 및 환경</w:t>
      </w:r>
    </w:p>
    <w:p>
      <w:pPr>
        <w:pStyle w:val="ListBullet"/>
      </w:pPr>
      <w:r>
        <w:t>검증 일시: 2026년 9월 7일</w:t>
      </w:r>
    </w:p>
    <w:p>
      <w:pPr>
        <w:pStyle w:val="ListBullet"/>
      </w:pPr>
      <w:r>
        <w:t>연동 서비스: 공공데이터포털(data.go.kr) 조달청 나라장터 개방표준서비스 (PubDataOpnStdService v1.2)</w:t>
      </w:r>
    </w:p>
    <w:p>
      <w:pPr>
        <w:pStyle w:val="ListBullet"/>
      </w:pPr>
      <w:r>
        <w:t>인증 방식: 공공데이터포털 일반 인증키 (DATA_GO_KR_SERVICE_KEY)</w:t>
      </w:r>
    </w:p>
    <w:p>
      <w:pPr>
        <w:pStyle w:val="ListBullet"/>
      </w:pPr>
      <w:r>
        <w:t>수집 대상 일자: 2026-09-01 (1일 스모크 테스트)</w:t>
      </w:r>
    </w:p>
    <w:p>
      <w:pPr>
        <w:pStyle w:val="ListBullet"/>
      </w:pPr>
      <w:r>
        <w:t>테스트 대상 피드:</w:t>
      </w:r>
    </w:p>
    <w:p>
      <w:pPr>
        <w:pStyle w:val="ListNumber"/>
      </w:pPr>
      <w:r>
        <w:t>bids (getDataSetOpnStdBidPblancInfo - 입찰공고 정보)</w:t>
      </w:r>
    </w:p>
    <w:p>
      <w:pPr>
        <w:pStyle w:val="ListNumber"/>
      </w:pPr>
      <w:r>
        <w:t>awards (getDataSetOpnStdScsbidInfo - 개찰/낙찰자 결정 정보, 4개 업무구분 전수)</w:t>
      </w:r>
    </w:p>
    <w:p>
      <w:pPr>
        <w:pStyle w:val="ListNumber"/>
      </w:pPr>
      <w:r>
        <w:t>contracts (getDataSetOpnStdCntrctInfo - 계약 체결 정보)</w:t>
      </w:r>
    </w:p>
    <w:p>
      <w:pPr>
        <w:pStyle w:val="ListBullet"/>
      </w:pPr>
      <w:r>
        <w:t>실행 환경: Windows 11, Python 3.12 (CI: Python 3.11 &amp; 3.12)</w:t>
      </w:r>
    </w:p>
    <w:p>
      <w:pPr>
        <w:pStyle w:val="Heading1"/>
      </w:pPr>
      <w:r>
        <w:t>2. API 규격 일치화 및 보안 인증 검증</w:t>
      </w:r>
    </w:p>
    <w:p>
      <w:pPr>
        <w:pStyle w:val="Heading2"/>
      </w:pPr>
      <w:r>
        <w:t>2.1 URL 이중 인코딩(Double Percent-Encoding) 방지</w:t>
      </w:r>
    </w:p>
    <w:p>
      <w:pPr>
        <w:pStyle w:val="ListBullet"/>
      </w:pPr>
      <w:r>
        <w:t>문제 현상: 공공데이터포털의 Encoding 키(%3D, %2B 포함)를 requests.get(params=...)에 그대로 전달할 경우, 라이브러리 내부에서 %253D로 이중 인코딩되어 SERVICE_KEY_IS_NOT_REGISTERED_ERROR (코드 30) 에러가 발생함.</w:t>
      </w:r>
    </w:p>
    <w:p>
      <w:pPr>
        <w:pStyle w:val="ListBullet"/>
      </w:pPr>
      <w:r>
        <w:t>해결 방안: get_service_key() 및 KonepsClient._build_request()에서 urllib.parse.unquote()를 적용하여 Decoding/Encoding 키 형태와 무관하게 정확한 바이트가 전송되도록 처리함.</w:t>
      </w:r>
    </w:p>
    <w:p>
      <w:pPr>
        <w:pStyle w:val="Heading2"/>
      </w:pPr>
      <w:r>
        <w:t>2.2 공식 파라미터 케이싱 일치화</w:t>
      </w:r>
    </w:p>
    <w:p>
      <w:pPr>
        <w:pStyle w:val="ListBullet"/>
      </w:pPr>
      <w:r>
        <w:t>PubDataOpnStdService 표준 규격에 맞추어 인증키 쿼리 파라미터를 ServiceKey로 통일함.</w:t>
      </w:r>
    </w:p>
    <w:p>
      <w:pPr>
        <w:pStyle w:val="Heading2"/>
      </w:pPr>
      <w:r>
        <w:t>2.3 awards 피드 1일 윈도우 분할</w:t>
      </w:r>
    </w:p>
    <w:p>
      <w:pPr>
        <w:pStyle w:val="ListBullet"/>
      </w:pPr>
      <w:r>
        <w:t>getDataSetOpnStdScsbidInfo의 opengBgnDt/opengEndDt 허용 범위가 최대 1일(당일 00:00 ~ 23:59)로 제한되어 있으므로 endpoints.py의 awards feed spec을 window_days=1로 확정 적용함.</w:t>
      </w:r>
    </w:p>
    <w:p>
      <w:pPr>
        <w:pStyle w:val="Heading2"/>
      </w:pPr>
      <w:r>
        <w:t>2.4 무출력 보안 정책 (Zero-Secret Policy)</w:t>
      </w:r>
    </w:p>
    <w:p>
      <w:pPr>
        <w:pStyle w:val="ListBullet"/>
      </w:pPr>
      <w:r>
        <w:t>API 서비스 키는 환경변수(.env)에서만 로드하며, 로그 및 콘솔 출력 시 izypYg==와 같이 마스킹 처리되어 절대 노출되지 않음을 확인함.</w:t>
      </w:r>
    </w:p>
    <w:p>
      <w:pPr>
        <w:pStyle w:val="ListBullet"/>
      </w:pPr>
      <w:r>
        <w:t>수집된 원천 .jsonl.gz, .parquet, .env 파일은 .gitignore에 전면 등록되어 저장소 유출을 방지함.</w:t>
      </w:r>
    </w:p>
    <w:p>
      <w:pPr>
        <w:pStyle w:val="Heading1"/>
      </w:pPr>
      <w:r>
        <w:t>3. 1일치 실시간 수집 결과 (2026-09-01)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데이터셋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오퍼레이션</w:t>
            </w:r>
          </w:p>
        </w:tc>
        <w:tc>
          <w:tcPr>
            <w:tcW w:type="dxa" w:w="1337"/>
          </w:tcPr>
          <w:p>
            <w:r>
              <w:rPr>
                <w:b/>
              </w:rPr>
              <w:t>대상 구분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수집 행 수 (Rows)</w:t>
            </w:r>
          </w:p>
        </w:tc>
        <w:tc>
          <w:tcPr>
            <w:tcW w:type="dxa" w:w="1337"/>
          </w:tcPr>
          <w:p>
            <w:r>
              <w:rPr>
                <w:b/>
              </w:rPr>
              <w:t>API 호출 수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산출물 크기 (압축 raw)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1337"/>
          </w:tcPr>
          <w:p>
            <w:r>
              <w:t>bids</w:t>
            </w:r>
          </w:p>
        </w:tc>
        <w:tc>
          <w:tcPr>
            <w:tcW w:type="dxa" w:w="1337"/>
          </w:tcPr>
          <w:p>
            <w:r>
              <w:t>getDataSetOpnStdBidPblancInfo</w:t>
            </w:r>
          </w:p>
        </w:tc>
        <w:tc>
          <w:tcPr>
            <w:tcW w:type="dxa" w:w="1337"/>
          </w:tcPr>
          <w:p>
            <w:r>
              <w:t>전체</w:t>
            </w:r>
          </w:p>
        </w:tc>
        <w:tc>
          <w:tcPr>
            <w:tcW w:type="dxa" w:w="1337"/>
          </w:tcPr>
          <w:p>
            <w:r>
              <w:t>1,564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240 KB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awards</w:t>
            </w:r>
          </w:p>
        </w:tc>
        <w:tc>
          <w:tcPr>
            <w:tcW w:type="dxa" w:w="1337"/>
          </w:tcPr>
          <w:p>
            <w:r>
              <w:t>getDataSetOpnStdScsbidInfo</w:t>
            </w:r>
          </w:p>
        </w:tc>
        <w:tc>
          <w:tcPr>
            <w:tcW w:type="dxa" w:w="1337"/>
          </w:tcPr>
          <w:p>
            <w:r>
              <w:t>물품 (1)</w:t>
            </w:r>
          </w:p>
        </w:tc>
        <w:tc>
          <w:tcPr>
            <w:tcW w:type="dxa" w:w="1337"/>
          </w:tcPr>
          <w:p>
            <w:r>
              <w:t>24,627</w:t>
            </w:r>
          </w:p>
        </w:tc>
        <w:tc>
          <w:tcPr>
            <w:tcW w:type="dxa" w:w="1337"/>
          </w:tcPr>
          <w:p>
            <w:r>
              <w:t>247</w:t>
            </w:r>
          </w:p>
        </w:tc>
        <w:tc>
          <w:tcPr>
            <w:tcW w:type="dxa" w:w="1337"/>
          </w:tcPr>
          <w:p>
            <w:r>
              <w:t>1.16 MB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awards</w:t>
            </w:r>
          </w:p>
        </w:tc>
        <w:tc>
          <w:tcPr>
            <w:tcW w:type="dxa" w:w="1337"/>
          </w:tcPr>
          <w:p>
            <w:r>
              <w:t>getDataSetOpnStdScsbidInfo</w:t>
            </w:r>
          </w:p>
        </w:tc>
        <w:tc>
          <w:tcPr>
            <w:tcW w:type="dxa" w:w="1337"/>
          </w:tcPr>
          <w:p>
            <w:r>
              <w:t>외자 (2)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1.78 KB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awards</w:t>
            </w:r>
          </w:p>
        </w:tc>
        <w:tc>
          <w:tcPr>
            <w:tcW w:type="dxa" w:w="1337"/>
          </w:tcPr>
          <w:p>
            <w:r>
              <w:t>getDataSetOpnStdScsbidInfo</w:t>
            </w:r>
          </w:p>
        </w:tc>
        <w:tc>
          <w:tcPr>
            <w:tcW w:type="dxa" w:w="1337"/>
          </w:tcPr>
          <w:p>
            <w:r>
              <w:t>공사 (3)</w:t>
            </w:r>
          </w:p>
        </w:tc>
        <w:tc>
          <w:tcPr>
            <w:tcW w:type="dxa" w:w="1337"/>
          </w:tcPr>
          <w:p>
            <w:r>
              <w:t>99,601</w:t>
            </w:r>
          </w:p>
        </w:tc>
        <w:tc>
          <w:tcPr>
            <w:tcW w:type="dxa" w:w="1337"/>
          </w:tcPr>
          <w:p>
            <w:r>
              <w:t>100</w:t>
            </w:r>
          </w:p>
        </w:tc>
        <w:tc>
          <w:tcPr>
            <w:tcW w:type="dxa" w:w="1337"/>
          </w:tcPr>
          <w:p>
            <w:r>
              <w:t>5.37 MB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awards</w:t>
            </w:r>
          </w:p>
        </w:tc>
        <w:tc>
          <w:tcPr>
            <w:tcW w:type="dxa" w:w="1337"/>
          </w:tcPr>
          <w:p>
            <w:r>
              <w:t>getDataSetOpnStdScsbidInfo</w:t>
            </w:r>
          </w:p>
        </w:tc>
        <w:tc>
          <w:tcPr>
            <w:tcW w:type="dxa" w:w="1337"/>
          </w:tcPr>
          <w:p>
            <w:r>
              <w:t>용역 (5)</w:t>
            </w:r>
          </w:p>
        </w:tc>
        <w:tc>
          <w:tcPr>
            <w:tcW w:type="dxa" w:w="1337"/>
          </w:tcPr>
          <w:p>
            <w:r>
              <w:t>5,672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288 KB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contracts</w:t>
            </w:r>
          </w:p>
        </w:tc>
        <w:tc>
          <w:tcPr>
            <w:tcW w:type="dxa" w:w="1337"/>
          </w:tcPr>
          <w:p>
            <w:r>
              <w:t>getDataSetOpnStdCntrctInfo</w:t>
            </w:r>
          </w:p>
        </w:tc>
        <w:tc>
          <w:tcPr>
            <w:tcW w:type="dxa" w:w="1337"/>
          </w:tcPr>
          <w:p>
            <w:r>
              <w:t>전체</w:t>
            </w:r>
          </w:p>
        </w:tc>
        <w:tc>
          <w:tcPr>
            <w:tcW w:type="dxa" w:w="1337"/>
          </w:tcPr>
          <w:p>
            <w:r>
              <w:t>6,269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643 KB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합계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137,745</w:t>
            </w:r>
          </w:p>
        </w:tc>
        <w:tc>
          <w:tcPr>
            <w:tcW w:type="dxa" w:w="1337"/>
          </w:tcPr>
          <w:p>
            <w:r>
              <w:t>377</w:t>
            </w:r>
          </w:p>
        </w:tc>
        <w:tc>
          <w:tcPr>
            <w:tcW w:type="dxa" w:w="1337"/>
          </w:tcPr>
          <w:p>
            <w:r>
              <w:t>~7.7 MB</w:t>
            </w:r>
          </w:p>
        </w:tc>
        <w:tc>
          <w:tcPr>
            <w:tcW w:type="dxa" w:w="1337"/>
          </w:tcPr>
          <w:p>
            <w:r>
              <w:t>전수 성공</w:t>
            </w:r>
          </w:p>
        </w:tc>
      </w:tr>
    </w:tbl>
    <w:p/>
    <w:p>
      <w:pPr>
        <w:ind w:left="432"/>
      </w:pPr>
      <w:r>
        <w:rPr>
          <w:i/>
          <w:color w:val="646464"/>
        </w:rPr>
        <w:t>[!TIP]</w:t>
      </w:r>
    </w:p>
    <w:p>
      <w:pPr>
        <w:ind w:left="432"/>
      </w:pPr>
      <w:r>
        <w:rPr>
          <w:i/>
          <w:color w:val="646464"/>
        </w:rPr>
        <w:t>페이징 성능 최적화 성과:</w:t>
      </w:r>
    </w:p>
    <w:p>
      <w:pPr>
        <w:ind w:left="432"/>
      </w:pPr>
      <w:r>
        <w:rPr>
          <w:i/>
          <w:color w:val="646464"/>
        </w:rPr>
        <w:t>getDataSetOpnStdScsbidInfo 및 getDataSetOpnStdCntrctInfo는 numOfRows=999를 공식 지원합니다. 공사(construction) 부문(99,601건) 수집 시 100단위 페이징(약 1,000회 호출 필요) 대신 999단위 페이징을 적용하여 단 100회의 호출(약 4분 소요)로 일일 호출 한도(1,000건/일) 소진 없이 신속하고 안전하게 수집을 완료했습니다.</w:t>
      </w:r>
    </w:p>
    <w:p>
      <w:pPr>
        <w:pStyle w:val="Heading1"/>
      </w:pPr>
      <w:r>
        <w:t>4. 실측 데이터 스키마 및 입도(Grain) 분석</w:t>
      </w:r>
    </w:p>
    <w:p>
      <w:pPr>
        <w:pStyle w:val="Heading2"/>
      </w:pPr>
      <w:r>
        <w:t>4.1 핵심 발견: awards 피드의 데이터 입도와 중복 제거 키 보정</w:t>
      </w:r>
    </w:p>
    <w:p>
      <w:pPr>
        <w:pStyle w:val="ListBullet"/>
      </w:pPr>
      <w:r>
        <w:t>실측 분석: getDataSetOpnStdScsbidInfo 피드는 단순 1공고당 1행(낙찰자 1개사)이 아니라, 해당 개찰일에 열린 모든 공고의 개찰 순위별 전체 투찰 업체(Bidder Submission) 행을 반환함.</w:t>
      </w:r>
    </w:p>
    <w:p>
      <w:pPr>
        <w:pStyle w:val="ListBullet"/>
      </w:pPr>
      <w:r>
        <w:t>데이터 유실 방지 조치:</w:t>
      </w:r>
    </w:p>
    <w:p>
      <w:pPr>
        <w:pStyle w:val="ListBullet"/>
      </w:pPr>
      <w:r>
        <w:t>기존 초기 구현체의 디듀플리케이션 키가 ["bidNtceNo", "bidNtceOrd"]로 지정되어 있어, 그대로 정규화할 경우 공고당 1개 행만 남고 99.5%의 투찰자 데이터가 유실(공사 기준 99,601건 -&gt; 419건으로 압축)될 심각한 위험이 확인됨.</w:t>
      </w:r>
    </w:p>
    <w:p>
      <w:pPr>
        <w:pStyle w:val="ListBullet"/>
      </w:pPr>
      <w:r>
        <w:t>이를 방지하기 위해 DEDUPLICATION_KEYS["awards"]를 ["bidNtceNo", "bidNtceOrd", "bidprcCorpBizrno", "opengRank", "dqlfctnRsn"]로 즉각 보정함.</w:t>
      </w:r>
    </w:p>
    <w:p>
      <w:pPr>
        <w:pStyle w:val="ListBullet"/>
      </w:pPr>
      <w:r>
        <w:t>보정 결과: 유효한 입찰자 128,250건이 보존되고 네트워크 재조회 등으로 발생한 순수 중복만 정확하게 제거됨.</w:t>
      </w:r>
    </w:p>
    <w:p>
      <w:pPr>
        <w:pStyle w:val="Heading2"/>
      </w:pPr>
      <w:r>
        <w:t>4.2 실측 API 필드 정합성 일치화</w:t>
      </w:r>
    </w:p>
    <w:p>
      <w:r>
        <w:t>실시간 수집된 실제 응답 스키마와 내부 캐노니컬 매핑의 차이를 실측하여 전면 보정함:</w:t>
      </w:r>
    </w:p>
    <w:p>
      <w:pPr>
        <w:pStyle w:val="ListNumber"/>
      </w:pPr>
      <w:r>
        <w:t>bids (입찰공고, 53개 실측 필드):</w:t>
      </w:r>
    </w:p>
    <w:p>
      <w:pPr>
        <w:pStyle w:val="ListBullet"/>
      </w:pPr>
      <w:r>
        <w:t>수요기관: dminsttCd 뿐만 아니라 실측 API 표준인 dmndInsttCd, dmndInsttNm 지원.</w:t>
      </w:r>
    </w:p>
    <w:p>
      <w:pPr>
        <w:pStyle w:val="ListBullet"/>
      </w:pPr>
      <w:r>
        <w:t>추정가격: presmPtce 외 실측 필드명인 presmptPrce 반영.</w:t>
      </w:r>
    </w:p>
    <w:p>
      <w:pPr>
        <w:pStyle w:val="ListBullet"/>
      </w:pPr>
      <w:r>
        <w:t>공고일/마감일: bidNtceDate, bidNtceBgn, bidBeginDate, bidClseDate, opengDate 반영.</w:t>
      </w:r>
    </w:p>
    <w:p>
      <w:pPr>
        <w:pStyle w:val="ListBullet"/>
      </w:pPr>
      <w:r>
        <w:t>낙찰방법: bidwinrDcsnMthdNm 매핑 추가.</w:t>
      </w:r>
    </w:p>
    <w:p>
      <w:pPr>
        <w:pStyle w:val="ListNumber"/>
      </w:pPr>
      <w:r>
        <w:t>awards (개찰/낙찰자, 38개 실측 필드):</w:t>
      </w:r>
    </w:p>
    <w:p>
      <w:pPr>
        <w:pStyle w:val="ListBullet"/>
      </w:pPr>
      <w:r>
        <w:t>투찰자 레벨: bidprcCorpBizrno (투찰업체사업자번호), bidprcCorpNm (투찰업체명), bidprcAmt (투찰금액), bidprcRt (투찰율), opengRank (개찰순위), sucsfYn (낙찰여부), dqlfctnRsn (부적격사유).</w:t>
      </w:r>
    </w:p>
    <w:p>
      <w:pPr>
        <w:pStyle w:val="ListBullet"/>
      </w:pPr>
      <w:r>
        <w:t>최종 낙찰자 레벨: fnlSucsfAmt (최종낙찰금액), fnlSucsfRt (최종낙찰율), fnlSucsfCorpNm (낙찰업체명), fnlSucsfCorpBizrno (낙찰업체사업자번호), fnlSucsfDate (낙찰일자).</w:t>
      </w:r>
    </w:p>
    <w:p>
      <w:pPr>
        <w:pStyle w:val="ListBullet"/>
      </w:pPr>
      <w:r>
        <w:t>가격 기준: presmptPrce (추정가격), rsrvtnPrce (예정가격), bssAmt (기초금액).</w:t>
      </w:r>
    </w:p>
    <w:p>
      <w:pPr>
        <w:pStyle w:val="ListNumber"/>
      </w:pPr>
      <w:r>
        <w:t>contracts (계약, 44개 실측 필드):</w:t>
      </w:r>
    </w:p>
    <w:p>
      <w:pPr>
        <w:pStyle w:val="ListBullet"/>
      </w:pPr>
      <w:r>
        <w:t>식별자: untyCntrctNo (통합계약번호 - 6,269건 전수 100% Unique 키로 확인됨), cntrctNo (계약번호), cntrctOrd (계약차수).</w:t>
      </w:r>
    </w:p>
    <w:p>
      <w:pPr>
        <w:pStyle w:val="ListBullet"/>
      </w:pPr>
      <w:r>
        <w:t>계약금액: cntrctAmt (금차계약금액), ttalCntrctAmt (총계약금액).</w:t>
      </w:r>
    </w:p>
    <w:p>
      <w:pPr>
        <w:pStyle w:val="ListBullet"/>
      </w:pPr>
      <w:r>
        <w:t>계약상대자: rprsntCorpBizrno (대표업체사업자등록번호), rprsntCorpNm (대표업체명).</w:t>
      </w:r>
    </w:p>
    <w:p>
      <w:pPr>
        <w:pStyle w:val="Heading1"/>
      </w:pPr>
      <w:r>
        <w:t>5. Parquet 정규화 및 데이터 품질 검증</w:t>
      </w:r>
    </w:p>
    <w:p>
      <w:r>
        <w:t>scripts/build_dataset.py를 통해 원천 JSONL 데이터를 Hive 파티셔닝(year=2026/month=09/) Parquet 데이터셋으로 변환하고, scripts/quality_check.py --strict로 전수 검증을 수행함.</w:t>
      </w:r>
    </w:p>
    <w:p>
      <w:pPr>
        <w:pStyle w:val="Heading2"/>
      </w:pPr>
      <w:r>
        <w:t>5.1 Parquet 변환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데이터셋 피드</w:t>
            </w:r>
          </w:p>
        </w:tc>
        <w:tc>
          <w:tcPr>
            <w:tcW w:type="dxa" w:w="1872"/>
          </w:tcPr>
          <w:p>
            <w:r>
              <w:rPr>
                <w:b/>
              </w:rPr>
              <w:t>파티션 경로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정규화 행 수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컬럼 수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압축 포맷</w:t>
            </w:r>
          </w:p>
        </w:tc>
      </w:tr>
      <w:tr>
        <w:tc>
          <w:tcPr>
            <w:tcW w:type="dxa" w:w="1872"/>
          </w:tcPr>
          <w:p>
            <w:r>
              <w:t>bids</w:t>
            </w:r>
          </w:p>
        </w:tc>
        <w:tc>
          <w:tcPr>
            <w:tcW w:type="dxa" w:w="1872"/>
          </w:tcPr>
          <w:p>
            <w:r>
              <w:t>data/processed/bids/year=2026/month=09/</w:t>
            </w:r>
          </w:p>
        </w:tc>
        <w:tc>
          <w:tcPr>
            <w:tcW w:type="dxa" w:w="1872"/>
          </w:tcPr>
          <w:p>
            <w:r>
              <w:t>1,564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zstd</w:t>
            </w:r>
          </w:p>
        </w:tc>
      </w:tr>
      <w:tr>
        <w:tc>
          <w:tcPr>
            <w:tcW w:type="dxa" w:w="1872"/>
          </w:tcPr>
          <w:p>
            <w:r>
              <w:t>awards (공사)</w:t>
            </w:r>
          </w:p>
        </w:tc>
        <w:tc>
          <w:tcPr>
            <w:tcW w:type="dxa" w:w="1872"/>
          </w:tcPr>
          <w:p>
            <w:r>
              <w:t>data/processed/awards/year=2026/month=09/</w:t>
            </w:r>
          </w:p>
        </w:tc>
        <w:tc>
          <w:tcPr>
            <w:tcW w:type="dxa" w:w="1872"/>
          </w:tcPr>
          <w:p>
            <w:r>
              <w:t>98,110</w:t>
            </w:r>
          </w:p>
        </w:tc>
        <w:tc>
          <w:tcPr>
            <w:tcW w:type="dxa" w:w="1872"/>
          </w:tcPr>
          <w:p>
            <w:r>
              <w:t>79</w:t>
            </w:r>
          </w:p>
        </w:tc>
        <w:tc>
          <w:tcPr>
            <w:tcW w:type="dxa" w:w="1872"/>
          </w:tcPr>
          <w:p>
            <w:r>
              <w:t>zstd</w:t>
            </w:r>
          </w:p>
        </w:tc>
      </w:tr>
      <w:tr>
        <w:tc>
          <w:tcPr>
            <w:tcW w:type="dxa" w:w="1872"/>
          </w:tcPr>
          <w:p>
            <w:r>
              <w:t>awards (외자)</w:t>
            </w:r>
          </w:p>
        </w:tc>
        <w:tc>
          <w:tcPr>
            <w:tcW w:type="dxa" w:w="1872"/>
          </w:tcPr>
          <w:p>
            <w:r>
              <w:t>data/processed/awards/year=2026/month=09/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79</w:t>
            </w:r>
          </w:p>
        </w:tc>
        <w:tc>
          <w:tcPr>
            <w:tcW w:type="dxa" w:w="1872"/>
          </w:tcPr>
          <w:p>
            <w:r>
              <w:t>zstd</w:t>
            </w:r>
          </w:p>
        </w:tc>
      </w:tr>
      <w:tr>
        <w:tc>
          <w:tcPr>
            <w:tcW w:type="dxa" w:w="1872"/>
          </w:tcPr>
          <w:p>
            <w:r>
              <w:t>awards (물품)</w:t>
            </w:r>
          </w:p>
        </w:tc>
        <w:tc>
          <w:tcPr>
            <w:tcW w:type="dxa" w:w="1872"/>
          </w:tcPr>
          <w:p>
            <w:r>
              <w:t>data/processed/awards/year=2026/month=09/</w:t>
            </w:r>
          </w:p>
        </w:tc>
        <w:tc>
          <w:tcPr>
            <w:tcW w:type="dxa" w:w="1872"/>
          </w:tcPr>
          <w:p>
            <w:r>
              <w:t>24,573</w:t>
            </w:r>
          </w:p>
        </w:tc>
        <w:tc>
          <w:tcPr>
            <w:tcW w:type="dxa" w:w="1872"/>
          </w:tcPr>
          <w:p>
            <w:r>
              <w:t>79</w:t>
            </w:r>
          </w:p>
        </w:tc>
        <w:tc>
          <w:tcPr>
            <w:tcW w:type="dxa" w:w="1872"/>
          </w:tcPr>
          <w:p>
            <w:r>
              <w:t>zstd</w:t>
            </w:r>
          </w:p>
        </w:tc>
      </w:tr>
      <w:tr>
        <w:tc>
          <w:tcPr>
            <w:tcW w:type="dxa" w:w="1872"/>
          </w:tcPr>
          <w:p>
            <w:r>
              <w:t>awards (용역)</w:t>
            </w:r>
          </w:p>
        </w:tc>
        <w:tc>
          <w:tcPr>
            <w:tcW w:type="dxa" w:w="1872"/>
          </w:tcPr>
          <w:p>
            <w:r>
              <w:t>data/processed/awards/year=2026/month=09/</w:t>
            </w:r>
          </w:p>
        </w:tc>
        <w:tc>
          <w:tcPr>
            <w:tcW w:type="dxa" w:w="1872"/>
          </w:tcPr>
          <w:p>
            <w:r>
              <w:t>5,555</w:t>
            </w:r>
          </w:p>
        </w:tc>
        <w:tc>
          <w:tcPr>
            <w:tcW w:type="dxa" w:w="1872"/>
          </w:tcPr>
          <w:p>
            <w:r>
              <w:t>79</w:t>
            </w:r>
          </w:p>
        </w:tc>
        <w:tc>
          <w:tcPr>
            <w:tcW w:type="dxa" w:w="1872"/>
          </w:tcPr>
          <w:p>
            <w:r>
              <w:t>zstd</w:t>
            </w:r>
          </w:p>
        </w:tc>
      </w:tr>
      <w:tr>
        <w:tc>
          <w:tcPr>
            <w:tcW w:type="dxa" w:w="1872"/>
          </w:tcPr>
          <w:p>
            <w:r>
              <w:t>contracts</w:t>
            </w:r>
          </w:p>
        </w:tc>
        <w:tc>
          <w:tcPr>
            <w:tcW w:type="dxa" w:w="1872"/>
          </w:tcPr>
          <w:p>
            <w:r>
              <w:t>data/processed/contracts/year=2026/month=09/</w:t>
            </w:r>
          </w:p>
        </w:tc>
        <w:tc>
          <w:tcPr>
            <w:tcW w:type="dxa" w:w="1872"/>
          </w:tcPr>
          <w:p>
            <w:r>
              <w:t>6,269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zstd</w:t>
            </w:r>
          </w:p>
        </w:tc>
      </w:tr>
    </w:tbl>
    <w:p/>
    <w:p>
      <w:pPr>
        <w:pStyle w:val="Heading2"/>
      </w:pPr>
      <w:r>
        <w:t>5.2 엄격 품질 검증 결과 (quality_check.py --strict)</w:t>
      </w:r>
    </w:p>
    <w:p>
      <w:pPr>
        <w:pStyle w:val="ListBullet"/>
      </w:pPr>
      <w:r>
        <w:t>검사 파일 수: 6개 파일 (총 136,083행)</w:t>
      </w:r>
    </w:p>
    <w:p>
      <w:pPr>
        <w:pStyle w:val="ListBullet"/>
      </w:pPr>
      <w:r>
        <w:t>치명적 결함(Critical Issues): 0건 (False)</w:t>
      </w:r>
    </w:p>
    <w:p>
      <w:pPr>
        <w:pStyle w:val="ListBullet"/>
      </w:pPr>
      <w:r>
        <w:t>완전 중복 행(Duplicate Full Rows): 0건</w:t>
      </w:r>
    </w:p>
    <w:p>
      <w:pPr>
        <w:pStyle w:val="ListBullet"/>
      </w:pPr>
      <w:r>
        <w:t>음수 금액(Negative Monetary Amounts): 0건</w:t>
      </w:r>
    </w:p>
    <w:p>
      <w:pPr>
        <w:pStyle w:val="ListBullet"/>
      </w:pPr>
      <w:r>
        <w:t>통합계약번호 결측률(untyCntrctNo null ratio): 0.0% (고유성 100%)</w:t>
      </w:r>
    </w:p>
    <w:p>
      <w:pPr>
        <w:pStyle w:val="ListBullet"/>
      </w:pPr>
      <w:r>
        <w:t>인코딩 무결성: 한글 문자 깨짐(Garbled text, ?, \ufffd) 없이 순수 UTF-8로 완전 보존 확인.</w:t>
      </w:r>
    </w:p>
    <w:p>
      <w:pPr>
        <w:pStyle w:val="Heading1"/>
      </w:pPr>
      <w:r>
        <w:t>6. 결론 및 다음 마일스톤 권장사항</w:t>
      </w:r>
    </w:p>
    <w:p>
      <w:pPr>
        <w:pStyle w:val="ListNumber"/>
      </w:pPr>
      <w:r>
        <w:t>실시간 연동 성공: 조달청 나라장터 공공데이터포털 API의 모든 표준 피드가 정상 인증 및 수집 가능함을 완벽하게 입증함.</w:t>
      </w:r>
    </w:p>
    <w:p>
      <w:pPr>
        <w:pStyle w:val="ListNumber"/>
      </w:pPr>
      <w:r>
        <w:t>차기 권장 마일스톤:</w:t>
      </w:r>
    </w:p>
    <w:p>
      <w:pPr>
        <w:pStyle w:val="ListBullet"/>
      </w:pPr>
      <w:r>
        <w:t>"1개월 파일럿 수집 (1-Month Benchmark)" 진행을 권장함.</w:t>
      </w:r>
    </w:p>
    <w:p>
      <w:pPr>
        <w:pStyle w:val="ListBullet"/>
      </w:pPr>
      <w:r>
        <w:t>1개월 수집 시 awards 피드의 공사 부문은 월간 약 200만~300만 행에 달할 수 있으므로, 공공데이터포털 개발계정(1,000호출/일)에서 운영계정(10,000~100,000호출/일)으로의 자동 트래픽 상향 신청을 권장함.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