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공공데이터 출처 및 라이선스 가이드 (Data Sources &amp; Licensing Guide)</w:t>
      </w:r>
    </w:p>
    <w:p>
      <w:r>
        <w:t>한국어 | English</w:t>
      </w:r>
    </w:p>
    <w:p>
      <w:r>
        <w:t>본 문서는 대한민국 공공조달 인텔리전스 (KONEPS Procurement Intelligence) 파이프라인에서 사용하는 공공데이터 출처, 서비스 엔드포인트, 수집 제약 조건 및 라이선스 거버넌스 정책을 기술합니다.</w:t>
      </w:r>
    </w:p>
    <w:p>
      <w:pPr>
        <w:pStyle w:val="Heading1"/>
      </w:pPr>
      <w:r>
        <w:t>1. 공공데이터포털(data.go.kr) OpenAPI</w:t>
      </w:r>
    </w:p>
    <w:p>
      <w:r>
        <w:t>자동화 수집 파이프라인은 공공데이터포털(data.go.kr)을 통해 조달청이 개방하는 나라장터(KONEPS) 공공데이터개방표준서비스를 활용합니다.</w:t>
      </w:r>
    </w:p>
    <w:p>
      <w:pPr>
        <w:pStyle w:val="ListBullet"/>
      </w:pPr>
      <w:r>
        <w:t>서비스명: 조달청_나라장터 공공데이터개방표준서비스 (KONEPS Public Data Open Standard Service)</w:t>
      </w:r>
    </w:p>
    <w:p>
      <w:pPr>
        <w:pStyle w:val="ListBullet"/>
      </w:pPr>
      <w:r>
        <w:t>기본 엔드포인트 URL: https://apis.data.go.kr/1230000/ao/PubDataOpnStdService</w:t>
      </w:r>
    </w:p>
    <w:p>
      <w:pPr>
        <w:pStyle w:val="ListBullet"/>
      </w:pPr>
      <w:r>
        <w:t>통신 프로토콜: HTTPS GET (JSON 및 XML 응답)</w:t>
      </w:r>
    </w:p>
    <w:p>
      <w:pPr>
        <w:pStyle w:val="ListBullet"/>
      </w:pPr>
      <w:r>
        <w:t>인증 방식: ServiceKey (계정별 발급되는 일반 인증키 Decoding 값)</w:t>
      </w:r>
    </w:p>
    <w:p>
      <w:pPr>
        <w:pStyle w:val="ListBullet"/>
      </w:pPr>
      <w:r>
        <w:t>호출 트래픽 특성:</w:t>
      </w:r>
    </w:p>
    <w:p>
      <w:pPr>
        <w:pStyle w:val="ListBullet"/>
      </w:pPr>
      <w:r>
        <w:t>기본 개발계정 트래픽 한도: 일 1,000 ~ 10,000건 (신청 시 즉시 승인)</w:t>
      </w:r>
    </w:p>
    <w:p>
      <w:pPr>
        <w:pStyle w:val="ListBullet"/>
      </w:pPr>
      <w:r>
        <w:t>실운영 계정: 대용량 트래픽 허용 (2026-08 파일럿 수집 시 단일 세션 2,365회 호출 무결주 확인)</w:t>
      </w:r>
    </w:p>
    <w:p>
      <w:pPr>
        <w:pStyle w:val="Heading2"/>
      </w:pPr>
      <w:r>
        <w:t>지원 엔드포인트 규격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데이터셋</w:t>
            </w:r>
          </w:p>
        </w:tc>
        <w:tc>
          <w:tcPr>
            <w:tcW w:type="dxa" w:w="1872"/>
          </w:tcPr>
          <w:p>
            <w:r>
              <w:rPr>
                <w:b/>
              </w:rPr>
              <w:t>오퍼레이션명 (Operation)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조회 일시 파라미터</w:t>
            </w:r>
          </w:p>
        </w:tc>
        <w:tc>
          <w:tcPr>
            <w:tcW w:type="dxa" w:w="1872"/>
          </w:tcPr>
          <w:p>
            <w:r>
              <w:rPr>
                <w:b/>
              </w:rPr>
              <w:t>날짜 형식</w:t>
            </w:r>
          </w:p>
        </w:tc>
        <w:tc>
          <w:tcPr>
            <w:tcW w:type="dxa" w:w="1872"/>
          </w:tcPr>
          <w:p>
            <w:r>
              <w:rPr>
                <w:b/>
              </w:rPr>
              <w:t>수집 윈도우 분할 전략</w:t>
            </w:r>
          </w:p>
        </w:tc>
      </w:tr>
      <w:tr>
        <w:tc>
          <w:tcPr>
            <w:tcW w:type="dxa" w:w="1872"/>
          </w:tcPr>
          <w:p>
            <w:r>
              <w:t>입찰공고 (bids)</w:t>
            </w:r>
          </w:p>
        </w:tc>
        <w:tc>
          <w:tcPr>
            <w:tcW w:type="dxa" w:w="1872"/>
          </w:tcPr>
          <w:p>
            <w:r>
              <w:t>getDataSetOpnStdBidPblancInfo</w:t>
            </w:r>
          </w:p>
        </w:tc>
        <w:tc>
          <w:tcPr>
            <w:tcW w:type="dxa" w:w="1872"/>
          </w:tcPr>
          <w:p>
            <w:r>
              <w:t>bidNtceBgnDt ~ bidNtceEndDt</w:t>
            </w:r>
          </w:p>
        </w:tc>
        <w:tc>
          <w:tcPr>
            <w:tcW w:type="dxa" w:w="1872"/>
          </w:tcPr>
          <w:p>
            <w:r>
              <w:t>YYYYMMDDHHMM</w:t>
            </w:r>
          </w:p>
        </w:tc>
        <w:tc>
          <w:tcPr>
            <w:tcW w:type="dxa" w:w="1872"/>
          </w:tcPr>
          <w:p>
            <w:r>
              <w:t>1개월 단위 캘린더 분할 (month_windows)</w:t>
            </w:r>
          </w:p>
        </w:tc>
      </w:tr>
      <w:tr>
        <w:tc>
          <w:tcPr>
            <w:tcW w:type="dxa" w:w="1872"/>
          </w:tcPr>
          <w:p>
            <w:r>
              <w:t>개찰결과 (awards)</w:t>
            </w:r>
          </w:p>
        </w:tc>
        <w:tc>
          <w:tcPr>
            <w:tcW w:type="dxa" w:w="1872"/>
          </w:tcPr>
          <w:p>
            <w:r>
              <w:t>getDataSetOpnStdScsbidInfo</w:t>
            </w:r>
          </w:p>
        </w:tc>
        <w:tc>
          <w:tcPr>
            <w:tcW w:type="dxa" w:w="1872"/>
          </w:tcPr>
          <w:p>
            <w:r>
              <w:t>opengBgnDt ~ opengEndDt</w:t>
            </w:r>
          </w:p>
        </w:tc>
        <w:tc>
          <w:tcPr>
            <w:tcW w:type="dxa" w:w="1872"/>
          </w:tcPr>
          <w:p>
            <w:r>
              <w:t>YYYYMMDDHHMM</w:t>
            </w:r>
          </w:p>
        </w:tc>
        <w:tc>
          <w:tcPr>
            <w:tcW w:type="dxa" w:w="1872"/>
          </w:tcPr>
          <w:p>
            <w:r>
              <w:t>1일 단위 윈도우 (API v1.2 규격 필수) × 4대 업무구분(bsnsDivCd 1, 2, 3, 5)</w:t>
            </w:r>
          </w:p>
        </w:tc>
      </w:tr>
      <w:tr>
        <w:tc>
          <w:tcPr>
            <w:tcW w:type="dxa" w:w="1872"/>
          </w:tcPr>
          <w:p>
            <w:r>
              <w:t>계약내역 (contracts)</w:t>
            </w:r>
          </w:p>
        </w:tc>
        <w:tc>
          <w:tcPr>
            <w:tcW w:type="dxa" w:w="1872"/>
          </w:tcPr>
          <w:p>
            <w:r>
              <w:t>getDataSetOpnStdCntrctInfo</w:t>
            </w:r>
          </w:p>
        </w:tc>
        <w:tc>
          <w:tcPr>
            <w:tcW w:type="dxa" w:w="1872"/>
          </w:tcPr>
          <w:p>
            <w:r>
              <w:t>cntrctCnclsBgnDate ~ cntrctCnclsEndDate</w:t>
            </w:r>
          </w:p>
        </w:tc>
        <w:tc>
          <w:tcPr>
            <w:tcW w:type="dxa" w:w="1872"/>
          </w:tcPr>
          <w:p>
            <w:r>
              <w:t>YYYYMMDD</w:t>
            </w:r>
          </w:p>
        </w:tc>
        <w:tc>
          <w:tcPr>
            <w:tcW w:type="dxa" w:w="1872"/>
          </w:tcPr>
          <w:p>
            <w:r>
              <w:t>7일 단위 주간 분할 (week_windows)</w:t>
            </w:r>
          </w:p>
        </w:tc>
      </w:tr>
    </w:tbl>
    <w:p/>
    <w:p>
      <w:pPr>
        <w:pStyle w:val="Heading2"/>
      </w:pPr>
      <w:r>
        <w:t>업무구분 코드 (bsnsDivCd)</w:t>
      </w:r>
    </w:p>
    <w:p>
      <w:r>
        <w:t>개찰결과 등 업무구분 분할이 필수적인 엔드포인트:</w:t>
      </w:r>
    </w:p>
    <w:p>
      <w:pPr>
        <w:pStyle w:val="ListBullet"/>
      </w:pPr>
      <w:r>
        <w:t>1: 물품 (Goods)</w:t>
      </w:r>
    </w:p>
    <w:p>
      <w:pPr>
        <w:pStyle w:val="ListBullet"/>
      </w:pPr>
      <w:r>
        <w:t>2: 외자 (Foreign Supplies)</w:t>
      </w:r>
    </w:p>
    <w:p>
      <w:pPr>
        <w:pStyle w:val="ListBullet"/>
      </w:pPr>
      <w:r>
        <w:t>3: 공사 (Construction / Civil Works) — 전체 개찰결과의 약 77.6% 점유</w:t>
      </w:r>
    </w:p>
    <w:p>
      <w:pPr>
        <w:pStyle w:val="ListBullet"/>
      </w:pPr>
      <w:r>
        <w:t>5: 용역 (Services / Consulting)</w:t>
      </w:r>
    </w:p>
    <w:p>
      <w:pPr>
        <w:pStyle w:val="Heading1"/>
      </w:pPr>
      <w:r>
        <w:t>2. 나라장터 포털 상세 투찰보고서 익스포트 (Bidder Report Export)</w:t>
      </w:r>
    </w:p>
    <w:p>
      <w:r>
        <w:t>표준 API 피드 외에, 특정 공고 건에 대한 포털 세부 투찰내역을 추출할 수 있습니다:</w:t>
      </w:r>
    </w:p>
    <w:p>
      <w:pPr>
        <w:pStyle w:val="ListBullet"/>
      </w:pPr>
      <w:r>
        <w:t>출처 포털: 조달청 나라장터(KONEPS) 개찰결과 상세 조회 화면</w:t>
      </w:r>
    </w:p>
    <w:p>
      <w:pPr>
        <w:pStyle w:val="ListBullet"/>
      </w:pPr>
      <w:r>
        <w:t>보고서 명칭: 입찰공고 기업별 투찰 및 계약내역</w:t>
      </w:r>
    </w:p>
    <w:p>
      <w:pPr>
        <w:pStyle w:val="ListBullet"/>
      </w:pPr>
      <w:r>
        <w:t>인제스트 스크립트: scripts/ingest_bidder_report.py</w:t>
      </w:r>
    </w:p>
    <w:p>
      <w:pPr>
        <w:pStyle w:val="ListBullet"/>
      </w:pPr>
      <w:r>
        <w:t>지원 파일 포맷: CSV(.csv), Excel(.xlsx, 바이너리 .xls 지원)</w:t>
      </w:r>
    </w:p>
    <w:p>
      <w:pPr>
        <w:pStyle w:val="ListBullet"/>
      </w:pPr>
      <w:r>
        <w:t>역할 및 위상: 표준 awards API가 투찰 기업 정보(사업자번호, 투찰금액, 투찰률, 개찰순위)를 전수 제공함에 따라, 포털 보고서는 선택적 데이터 강화 및 교차 검증(Optional Enrichment) 보조 소스로 활용됩니다.</w:t>
      </w:r>
    </w:p>
    <w:p>
      <w:pPr>
        <w:pStyle w:val="Heading1"/>
      </w:pPr>
      <w:r>
        <w:t>3. 데이터 거버넌스 및 라이선스 정책</w:t>
      </w:r>
    </w:p>
    <w:p>
      <w:pPr>
        <w:pStyle w:val="Heading2"/>
      </w:pPr>
      <w:r>
        <w:t>원천 데이터 라이선스</w:t>
      </w:r>
    </w:p>
    <w:p>
      <w:pPr>
        <w:pStyle w:val="ListBullet"/>
      </w:pPr>
      <w:r>
        <w:t>공공데이터포털 및 나라장터를 통해 제공되는 데이터는 대한민국의 「공공데이터의 제공 및 이용 활성화에 관한 법률」 및 공공누리(Korea Open Government License, KOGL) 제1유형(출처표시 원칙) 등의 이용조건을 따릅니다.</w:t>
      </w:r>
    </w:p>
    <w:p>
      <w:pPr>
        <w:pStyle w:val="ListBullet"/>
      </w:pPr>
      <w:r>
        <w:t>각 서비스 페이지에 명시된 개별 이용조건을 준수하며, 연구용 데이터셋 배포 전 데이터 소스별 이용범위를 재확인합니다.</w:t>
      </w:r>
    </w:p>
    <w:p>
      <w:pPr>
        <w:pStyle w:val="ListBullet"/>
      </w:pPr>
      <w:r>
        <w:t>코드와 데이터의 분리: 본 GitHub 저장소는 소스코드와 파이프라인만 관리하며, 수집된 대용량 원천 데이터는 Git에 커밋하지 않고 Kaggle Datasets를 통해 별도 배포합니다.</w:t>
      </w:r>
    </w:p>
    <w:p>
      <w:pPr>
        <w:pStyle w:val="Heading2"/>
      </w:pPr>
      <w:r>
        <w:t>책임 있는 데이터 공개 원칙 (Responsible Publication Checkpoints)</w:t>
      </w:r>
    </w:p>
    <w:p>
      <w:pPr>
        <w:pStyle w:val="ListNumber"/>
      </w:pPr>
      <w:r>
        <w:t>Source-by-Source License Re-Verification (출처별 이용조건 재검증): Kaggle 공개 배포 전 data.go.kr의 각 서비스 엔드포인트(getDataSetOpnStdBidPblancInfo, getDataSetOpnStdScsbidInfo, getDataSetOpnStdCntrctInfo) 및 나라장터 포털의 최신 이용조건과 출처 표기 의무를 개별적으로 다시 확인합니다.</w:t>
      </w:r>
    </w:p>
    <w:p>
      <w:pPr>
        <w:pStyle w:val="ListNumber"/>
      </w:pPr>
      <w:r>
        <w:t>사업자등록번호 가명화: 사업자등록번호 원문은 비공개하며, 공개 데이터셋에는 안전한 단방향 SHA-256 해시 키(supplier_id)와 마스킹 번호(123-45-*)를 제공합니다.</w:t>
      </w:r>
    </w:p>
    <w:p>
      <w:pPr>
        <w:pStyle w:val="ListNumber"/>
      </w:pPr>
      <w:r>
        <w:t>개인정보 보호: 공공입찰 데이터 중 개인식별정보(주민등록번호 등)는 공공 API에서 원천적으로 배제되어 있습니다.</w:t>
      </w:r>
    </w:p>
    <w:p>
      <w:pPr>
        <w:pStyle w:val="ListNumber"/>
      </w:pPr>
      <w:r>
        <w:t>인증키 보안: 서비스 인증키, 개인 토큰, .env 파일은 절대 소스코드 저장소에 커밋하지 않습니다.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